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1621"/>
        <w:gridCol w:w="6230"/>
        <w:gridCol w:w="1896"/>
      </w:tblGrid>
      <w:tr w:rsidR="0039695D" w:rsidTr="009B5715">
        <w:trPr>
          <w:trHeight w:val="504"/>
        </w:trPr>
        <w:tc>
          <w:tcPr>
            <w:tcW w:w="1624" w:type="dxa"/>
            <w:vMerge w:val="restart"/>
            <w:shd w:val="clear" w:color="auto" w:fill="auto"/>
          </w:tcPr>
          <w:p w:rsidR="0039695D" w:rsidRDefault="0039695D" w:rsidP="009B5715">
            <w:pPr>
              <w:pStyle w:val="Header"/>
              <w:jc w:val="center"/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704850" cy="1019175"/>
                  <wp:effectExtent l="19050" t="0" r="0" b="0"/>
                  <wp:docPr id="7" name="Picture 7" descr="stema Roman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tema Roman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1" w:type="dxa"/>
            <w:shd w:val="clear" w:color="auto" w:fill="auto"/>
          </w:tcPr>
          <w:p w:rsidR="0039695D" w:rsidRPr="008D4BF2" w:rsidRDefault="0039695D" w:rsidP="009B5715">
            <w:pPr>
              <w:pStyle w:val="Header"/>
              <w:jc w:val="center"/>
              <w:rPr>
                <w:rFonts w:ascii="Arial" w:hAnsi="Arial" w:cs="Arial"/>
                <w:b/>
                <w:color w:val="000080"/>
                <w:sz w:val="32"/>
                <w:szCs w:val="32"/>
              </w:rPr>
            </w:pPr>
            <w:r w:rsidRPr="008D4BF2">
              <w:rPr>
                <w:rFonts w:ascii="Arial" w:hAnsi="Arial" w:cs="Arial"/>
                <w:b/>
                <w:color w:val="000080"/>
                <w:sz w:val="32"/>
                <w:szCs w:val="32"/>
              </w:rPr>
              <w:t>JUDEŢUL ARGEŞ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9695D" w:rsidRDefault="0039695D" w:rsidP="009B5715">
            <w:pPr>
              <w:pStyle w:val="Header"/>
              <w:jc w:val="center"/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1047750" cy="1085850"/>
                  <wp:effectExtent l="19050" t="0" r="0" b="0"/>
                  <wp:docPr id="8" name="Picture 8" descr="Logo CJ_Judetul Ar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Logo CJ_Judetul Ar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695D" w:rsidTr="009B5715">
        <w:trPr>
          <w:trHeight w:val="268"/>
        </w:trPr>
        <w:tc>
          <w:tcPr>
            <w:tcW w:w="1624" w:type="dxa"/>
            <w:vMerge/>
            <w:shd w:val="clear" w:color="auto" w:fill="auto"/>
          </w:tcPr>
          <w:p w:rsidR="0039695D" w:rsidRDefault="0039695D" w:rsidP="009B5715">
            <w:pPr>
              <w:pStyle w:val="Header"/>
            </w:pPr>
          </w:p>
        </w:tc>
        <w:tc>
          <w:tcPr>
            <w:tcW w:w="6281" w:type="dxa"/>
            <w:shd w:val="clear" w:color="auto" w:fill="auto"/>
          </w:tcPr>
          <w:p w:rsidR="005619BE" w:rsidRPr="008D4BF2" w:rsidRDefault="0039695D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4BF2">
              <w:rPr>
                <w:rFonts w:ascii="Arial" w:hAnsi="Arial" w:cs="Arial"/>
                <w:b/>
                <w:sz w:val="24"/>
                <w:szCs w:val="24"/>
              </w:rPr>
              <w:t>CONSILIUL JUDEŢEAN ARGEŞ</w:t>
            </w:r>
          </w:p>
        </w:tc>
        <w:tc>
          <w:tcPr>
            <w:tcW w:w="1842" w:type="dxa"/>
            <w:vMerge/>
            <w:shd w:val="clear" w:color="auto" w:fill="auto"/>
          </w:tcPr>
          <w:p w:rsidR="0039695D" w:rsidRDefault="0039695D" w:rsidP="009B5715">
            <w:pPr>
              <w:pStyle w:val="Header"/>
            </w:pPr>
          </w:p>
        </w:tc>
      </w:tr>
      <w:tr w:rsidR="0039695D" w:rsidTr="009B5715">
        <w:trPr>
          <w:trHeight w:val="597"/>
        </w:trPr>
        <w:tc>
          <w:tcPr>
            <w:tcW w:w="1624" w:type="dxa"/>
            <w:vMerge/>
            <w:shd w:val="clear" w:color="auto" w:fill="auto"/>
          </w:tcPr>
          <w:p w:rsidR="0039695D" w:rsidRDefault="0039695D" w:rsidP="009B5715">
            <w:pPr>
              <w:pStyle w:val="Header"/>
            </w:pPr>
          </w:p>
        </w:tc>
        <w:tc>
          <w:tcPr>
            <w:tcW w:w="6281" w:type="dxa"/>
            <w:shd w:val="clear" w:color="auto" w:fill="auto"/>
          </w:tcPr>
          <w:p w:rsidR="0039695D" w:rsidRPr="008D4BF2" w:rsidRDefault="005619BE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8D4BF2">
              <w:rPr>
                <w:rFonts w:ascii="Arial" w:hAnsi="Arial" w:cs="Arial"/>
                <w:b/>
                <w:sz w:val="18"/>
                <w:szCs w:val="18"/>
                <w:lang w:val="it-IT"/>
              </w:rPr>
              <w:t xml:space="preserve">REGIA DE ADMINISTRARE A DOMENIULUI PUBLIC </w:t>
            </w:r>
            <w:r w:rsidRPr="008D4BF2">
              <w:rPr>
                <w:rFonts w:ascii="Arial" w:hAnsi="Arial" w:cs="Arial"/>
                <w:b/>
                <w:sz w:val="18"/>
                <w:szCs w:val="18"/>
                <w:lang w:val="ro-RO"/>
              </w:rPr>
              <w:t>ȘI PRIVAT</w:t>
            </w:r>
          </w:p>
          <w:p w:rsidR="005619BE" w:rsidRPr="008D4BF2" w:rsidRDefault="005619BE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8D4BF2">
              <w:rPr>
                <w:rFonts w:ascii="Arial" w:hAnsi="Arial" w:cs="Arial"/>
                <w:b/>
                <w:sz w:val="18"/>
                <w:szCs w:val="18"/>
                <w:lang w:val="ro-RO"/>
              </w:rPr>
              <w:t>AL JUDEȚULUI ARGEȘ R.A.</w:t>
            </w:r>
          </w:p>
          <w:p w:rsidR="005619BE" w:rsidRPr="008D4BF2" w:rsidRDefault="005619BE" w:rsidP="008D4BF2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ro-RO"/>
              </w:rPr>
            </w:pPr>
            <w:r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>C.U.I. 27457340, Nr. Reg. Comerțului  J 03/981/2010,</w:t>
            </w:r>
            <w:r w:rsidR="00061CC9"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 </w:t>
            </w:r>
            <w:r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 </w:t>
            </w:r>
            <w:r w:rsidR="009956FE">
              <w:rPr>
                <w:rFonts w:ascii="Arial" w:hAnsi="Arial" w:cs="Arial"/>
                <w:b/>
                <w:sz w:val="16"/>
                <w:szCs w:val="16"/>
                <w:lang w:val="ro-RO"/>
              </w:rPr>
              <w:t>PITEȘ</w:t>
            </w:r>
            <w:r w:rsidR="00061CC9"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>TI,</w:t>
            </w:r>
            <w:r w:rsidR="009956FE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 PIAȚA VASILE MILEA, </w:t>
            </w:r>
            <w:r w:rsid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>NR.1,</w:t>
            </w:r>
            <w:r w:rsidR="009956FE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 et.2, cam.86,</w:t>
            </w:r>
            <w:r w:rsid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 </w:t>
            </w:r>
            <w:r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>Jud. Argeș</w:t>
            </w:r>
          </w:p>
          <w:p w:rsidR="005619BE" w:rsidRPr="005619BE" w:rsidRDefault="005619BE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>Tel. 0248/217800, Tel. Fax 0248/266111</w:t>
            </w:r>
          </w:p>
        </w:tc>
        <w:tc>
          <w:tcPr>
            <w:tcW w:w="1842" w:type="dxa"/>
            <w:vMerge/>
            <w:shd w:val="clear" w:color="auto" w:fill="auto"/>
          </w:tcPr>
          <w:p w:rsidR="0039695D" w:rsidRDefault="0039695D" w:rsidP="009B5715">
            <w:pPr>
              <w:pStyle w:val="Header"/>
            </w:pPr>
          </w:p>
        </w:tc>
      </w:tr>
    </w:tbl>
    <w:p w:rsidR="0039695D" w:rsidRDefault="00E7159F" w:rsidP="0039695D">
      <w:pPr>
        <w:pStyle w:val="Header"/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157480</wp:posOffset>
                </wp:positionV>
                <wp:extent cx="6400800" cy="114300"/>
                <wp:effectExtent l="30480" t="33655" r="36195" b="330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114300"/>
                          <a:chOff x="1113510" y="1082036"/>
                          <a:chExt cx="29361" cy="1146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1113510" y="1082036"/>
                            <a:ext cx="29352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1113520" y="1083182"/>
                            <a:ext cx="29352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EE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1113510" y="1082608"/>
                            <a:ext cx="29352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FFFF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7.35pt;margin-top:12.4pt;width:7in;height:9pt;z-index:251658240" coordorigin="11135,10820" coordsize="293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">
                <v:line id="Line 3" o:spid="_x0000_s1027" style="position:absolute;visibility:visible;mso-wrap-style:square" from="11135,10820" to="11428,10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RqvMMAAADaAAAADwAAAGRycy9kb3ducmV2LnhtbESPQWuDQBSE74H+h+UVegnNWg9Jsa6h&#10;FBoaLyHRH/BwX1TqvhV3E42/Plso5DjMzDdMup1MJ640uNaygrdVBIK4srrlWkFZfL++g3AeWWNn&#10;mRTcyME2e1qkmGg78pGuJ1+LAGGXoILG+z6R0lUNGXQr2xMH72wHgz7IoZZ6wDHATSfjKFpLgy2H&#10;hQZ7+mqo+j1djIIzFxu59Id5zPdYzrsp1y3lSr08T58fIDxN/hH+b/9oBTH8XQk3QGZ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0arzDAAAA2gAAAA8AAAAAAAAAAAAA&#10;AAAAoQIAAGRycy9kb3ducmV2LnhtbFBLBQYAAAAABAAEAPkAAACRAwAAAAA=&#10;" strokecolor="blue" strokeweight="4.5pt">
                  <v:shadow color="#ccc"/>
                </v:line>
                <v:line id="Line 4" o:spid="_x0000_s1028" style="position:absolute;visibility:visible;mso-wrap-style:square" from="11135,10831" to="11428,1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Q/v8QAAADaAAAADwAAAGRycy9kb3ducmV2LnhtbESPQWvCQBSE74X+h+UVvNVNFFJJXUMM&#10;BHoQ2qoXb4/saxLMvo27W43/vlso9DjMzDfMupjMIK7kfG9ZQTpPQBA3VvfcKjge6ucVCB+QNQ6W&#10;ScGdPBSbx4c15tre+JOu+9CKCGGfo4IuhDGX0jcdGfRzOxJH78s6gyFK10rt8BbhZpCLJMmkwZ7j&#10;QocjVR015/23UfCxvdSnqlyc69175lLvMXk5ZkrNnqbyFUSgKfyH/9pvWsESfq/EG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xD+/xAAAANoAAAAPAAAAAAAAAAAA&#10;AAAAAKECAABkcnMvZG93bnJldi54bWxQSwUGAAAAAAQABAD5AAAAkgMAAAAA&#10;" strokecolor="#e00" strokeweight="4.5pt">
                  <v:shadow color="#ccc"/>
                </v:line>
                <v:line id="Line 5" o:spid="_x0000_s1029" style="position:absolute;visibility:visible;mso-wrap-style:square" from="11135,10826" to="11428,10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shZMQAAADaAAAADwAAAGRycy9kb3ducmV2LnhtbESPQWvCQBSE74L/YXlCL6IbSxVJXaUU&#10;QnsqNEbs8TX7TEKzb5PsNkn/fVcQPA4z8w2zO4ymFj11rrKsYLWMQBDnVldcKMiOyWILwnlkjbVl&#10;UvBHDg776WSHsbYDf1Kf+kIECLsYFZTeN7GULi/JoFvahjh4F9sZ9EF2hdQdDgFuavkYRRtpsOKw&#10;UGJDryXlP+mvUfDdZueaxrzNPk74Nl+3ycV8rZR6mI0vzyA8jf4evrXftYInuF4JN0D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CyFkxAAAANoAAAAPAAAAAAAAAAAA&#10;AAAAAKECAABkcnMvZG93bnJldi54bWxQSwUGAAAAAAQABAD5AAAAkgMAAAAA&#10;" strokecolor="yellow" strokeweight="4.5pt">
                  <v:shadow color="#ccc"/>
                </v:line>
              </v:group>
            </w:pict>
          </mc:Fallback>
        </mc:AlternateContent>
      </w:r>
    </w:p>
    <w:p w:rsidR="00E7159F" w:rsidRDefault="00E7159F" w:rsidP="00CE7339">
      <w:pPr>
        <w:rPr>
          <w:b/>
          <w:szCs w:val="28"/>
        </w:rPr>
      </w:pPr>
    </w:p>
    <w:p w:rsidR="00E7159F" w:rsidRDefault="00E7159F" w:rsidP="00940DB1">
      <w:pPr>
        <w:rPr>
          <w:b/>
          <w:szCs w:val="28"/>
        </w:rPr>
      </w:pPr>
    </w:p>
    <w:p w:rsidR="00E7159F" w:rsidRDefault="00E7159F" w:rsidP="008D4BF2">
      <w:pPr>
        <w:rPr>
          <w:b/>
          <w:szCs w:val="28"/>
        </w:rPr>
      </w:pPr>
    </w:p>
    <w:p w:rsidR="00184B94" w:rsidRDefault="00847331" w:rsidP="00E7159F">
      <w:pPr>
        <w:jc w:val="center"/>
        <w:rPr>
          <w:b/>
          <w:szCs w:val="28"/>
        </w:rPr>
      </w:pPr>
      <w:r>
        <w:rPr>
          <w:b/>
          <w:szCs w:val="28"/>
        </w:rPr>
        <w:t>RAPORTUL ADMINISTRATORULUI</w:t>
      </w:r>
    </w:p>
    <w:p w:rsidR="00847331" w:rsidRDefault="00847331" w:rsidP="00847331">
      <w:pPr>
        <w:jc w:val="both"/>
        <w:rPr>
          <w:szCs w:val="28"/>
        </w:rPr>
      </w:pPr>
      <w:bookmarkStart w:id="0" w:name="_GoBack"/>
      <w:bookmarkEnd w:id="0"/>
    </w:p>
    <w:p w:rsidR="00847331" w:rsidRPr="001E7320" w:rsidRDefault="00847331" w:rsidP="00847331">
      <w:pPr>
        <w:jc w:val="both"/>
        <w:rPr>
          <w:szCs w:val="28"/>
          <w:lang w:val="ro-RO"/>
        </w:rPr>
      </w:pPr>
      <w:r w:rsidRPr="001E7320">
        <w:rPr>
          <w:szCs w:val="28"/>
        </w:rPr>
        <w:t xml:space="preserve">    </w:t>
      </w:r>
      <w:r w:rsidR="001E7320">
        <w:rPr>
          <w:szCs w:val="28"/>
        </w:rPr>
        <w:t xml:space="preserve">  </w:t>
      </w:r>
      <w:r w:rsidR="00D5256E">
        <w:rPr>
          <w:szCs w:val="28"/>
        </w:rPr>
        <w:t xml:space="preserve"> </w:t>
      </w:r>
      <w:r w:rsidR="001E7320">
        <w:rPr>
          <w:szCs w:val="28"/>
        </w:rPr>
        <w:t xml:space="preserve"> </w:t>
      </w:r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Regia</w:t>
      </w:r>
      <w:proofErr w:type="spellEnd"/>
      <w:r w:rsidRPr="001E7320">
        <w:rPr>
          <w:szCs w:val="28"/>
        </w:rPr>
        <w:t xml:space="preserve"> de </w:t>
      </w:r>
      <w:proofErr w:type="spellStart"/>
      <w:r w:rsidRPr="001E7320">
        <w:rPr>
          <w:szCs w:val="28"/>
        </w:rPr>
        <w:t>Administrare</w:t>
      </w:r>
      <w:proofErr w:type="spellEnd"/>
      <w:r w:rsidRPr="001E7320">
        <w:rPr>
          <w:szCs w:val="28"/>
        </w:rPr>
        <w:t xml:space="preserve"> a </w:t>
      </w:r>
      <w:proofErr w:type="spellStart"/>
      <w:r w:rsidRPr="001E7320">
        <w:rPr>
          <w:szCs w:val="28"/>
        </w:rPr>
        <w:t>Domeniului</w:t>
      </w:r>
      <w:proofErr w:type="spellEnd"/>
      <w:r w:rsidRPr="001E7320">
        <w:rPr>
          <w:szCs w:val="28"/>
        </w:rPr>
        <w:t xml:space="preserve"> Public </w:t>
      </w:r>
      <w:proofErr w:type="spellStart"/>
      <w:r w:rsidRPr="001E7320">
        <w:rPr>
          <w:szCs w:val="28"/>
        </w:rPr>
        <w:t>și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Privat</w:t>
      </w:r>
      <w:proofErr w:type="spellEnd"/>
      <w:r w:rsidRPr="001E7320">
        <w:rPr>
          <w:szCs w:val="28"/>
        </w:rPr>
        <w:t xml:space="preserve"> al </w:t>
      </w:r>
      <w:proofErr w:type="spellStart"/>
      <w:r w:rsidRPr="001E7320">
        <w:rPr>
          <w:szCs w:val="28"/>
        </w:rPr>
        <w:t>Jude</w:t>
      </w:r>
      <w:r w:rsidR="008D4BF2">
        <w:rPr>
          <w:szCs w:val="28"/>
        </w:rPr>
        <w:t>ț</w:t>
      </w:r>
      <w:r w:rsidRPr="001E7320">
        <w:rPr>
          <w:szCs w:val="28"/>
        </w:rPr>
        <w:t>ului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Argeș</w:t>
      </w:r>
      <w:proofErr w:type="spellEnd"/>
      <w:r w:rsidRPr="001E7320">
        <w:rPr>
          <w:szCs w:val="28"/>
        </w:rPr>
        <w:t xml:space="preserve"> R.A., cu </w:t>
      </w:r>
      <w:proofErr w:type="spellStart"/>
      <w:r w:rsidRPr="001E7320">
        <w:rPr>
          <w:szCs w:val="28"/>
        </w:rPr>
        <w:t>sediul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în</w:t>
      </w:r>
      <w:proofErr w:type="spellEnd"/>
      <w:r w:rsidRPr="001E7320">
        <w:rPr>
          <w:szCs w:val="28"/>
        </w:rPr>
        <w:t xml:space="preserve"> </w:t>
      </w:r>
      <w:proofErr w:type="spellStart"/>
      <w:r w:rsidR="008D4BF2">
        <w:rPr>
          <w:szCs w:val="28"/>
        </w:rPr>
        <w:t>municipiul</w:t>
      </w:r>
      <w:proofErr w:type="spellEnd"/>
      <w:r w:rsidR="008D4BF2">
        <w:rPr>
          <w:szCs w:val="28"/>
        </w:rPr>
        <w:t xml:space="preserve"> Pitesti</w:t>
      </w:r>
      <w:r w:rsidRPr="001E7320">
        <w:rPr>
          <w:szCs w:val="28"/>
        </w:rPr>
        <w:t>,</w:t>
      </w:r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Piața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Vasile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Milea</w:t>
      </w:r>
      <w:proofErr w:type="spellEnd"/>
      <w:r w:rsidR="008D4BF2">
        <w:rPr>
          <w:szCs w:val="28"/>
        </w:rPr>
        <w:t xml:space="preserve">, </w:t>
      </w:r>
      <w:r w:rsidR="00D5256E">
        <w:rPr>
          <w:szCs w:val="28"/>
        </w:rPr>
        <w:t>nr.1,</w:t>
      </w:r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Consiliul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Județean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Argeș</w:t>
      </w:r>
      <w:proofErr w:type="spellEnd"/>
      <w:r w:rsidR="00D5256E">
        <w:rPr>
          <w:szCs w:val="28"/>
        </w:rPr>
        <w:t>,</w:t>
      </w:r>
      <w:r w:rsidR="008D4BF2">
        <w:rPr>
          <w:szCs w:val="28"/>
        </w:rPr>
        <w:t xml:space="preserve"> </w:t>
      </w:r>
      <w:r w:rsidR="00D5256E">
        <w:rPr>
          <w:szCs w:val="28"/>
        </w:rPr>
        <w:t>et.</w:t>
      </w:r>
      <w:r w:rsidR="008D4BF2">
        <w:rPr>
          <w:szCs w:val="28"/>
        </w:rPr>
        <w:t xml:space="preserve"> 2</w:t>
      </w:r>
      <w:proofErr w:type="gramStart"/>
      <w:r w:rsidR="008D4BF2">
        <w:rPr>
          <w:szCs w:val="28"/>
        </w:rPr>
        <w:t>,camera</w:t>
      </w:r>
      <w:proofErr w:type="gramEnd"/>
      <w:r w:rsidR="008D4BF2">
        <w:rPr>
          <w:szCs w:val="28"/>
        </w:rPr>
        <w:t xml:space="preserve"> 86</w:t>
      </w:r>
      <w:r w:rsidRPr="001E7320">
        <w:rPr>
          <w:szCs w:val="28"/>
        </w:rPr>
        <w:t xml:space="preserve">, </w:t>
      </w:r>
      <w:proofErr w:type="spellStart"/>
      <w:r w:rsidRPr="001E7320">
        <w:rPr>
          <w:szCs w:val="28"/>
        </w:rPr>
        <w:t>înregistrată</w:t>
      </w:r>
      <w:proofErr w:type="spellEnd"/>
      <w:r w:rsidRPr="001E7320">
        <w:rPr>
          <w:szCs w:val="28"/>
        </w:rPr>
        <w:t xml:space="preserve"> la </w:t>
      </w:r>
      <w:proofErr w:type="spellStart"/>
      <w:r w:rsidRPr="001E7320">
        <w:rPr>
          <w:szCs w:val="28"/>
        </w:rPr>
        <w:t>Oficiul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Registrului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Comerțului</w:t>
      </w:r>
      <w:proofErr w:type="spellEnd"/>
      <w:r w:rsidRPr="001E7320">
        <w:rPr>
          <w:szCs w:val="28"/>
        </w:rPr>
        <w:t xml:space="preserve"> sub </w:t>
      </w:r>
      <w:proofErr w:type="spellStart"/>
      <w:r w:rsidRPr="001E7320">
        <w:rPr>
          <w:szCs w:val="28"/>
        </w:rPr>
        <w:t>nr</w:t>
      </w:r>
      <w:proofErr w:type="spellEnd"/>
      <w:r w:rsidRPr="001E7320">
        <w:rPr>
          <w:szCs w:val="28"/>
        </w:rPr>
        <w:t xml:space="preserve">. J03/981/2010, </w:t>
      </w:r>
      <w:proofErr w:type="spellStart"/>
      <w:r w:rsidRPr="001E7320">
        <w:rPr>
          <w:szCs w:val="28"/>
        </w:rPr>
        <w:t>având</w:t>
      </w:r>
      <w:proofErr w:type="spellEnd"/>
      <w:r w:rsidRPr="001E7320">
        <w:rPr>
          <w:szCs w:val="28"/>
        </w:rPr>
        <w:t xml:space="preserve"> cod </w:t>
      </w:r>
      <w:proofErr w:type="spellStart"/>
      <w:r w:rsidRPr="001E7320">
        <w:rPr>
          <w:szCs w:val="28"/>
        </w:rPr>
        <w:t>unic</w:t>
      </w:r>
      <w:proofErr w:type="spellEnd"/>
      <w:r w:rsidRPr="001E7320">
        <w:rPr>
          <w:szCs w:val="28"/>
        </w:rPr>
        <w:t xml:space="preserve"> de </w:t>
      </w:r>
      <w:proofErr w:type="spellStart"/>
      <w:r w:rsidRPr="001E7320">
        <w:rPr>
          <w:szCs w:val="28"/>
        </w:rPr>
        <w:t>înregistrare</w:t>
      </w:r>
      <w:proofErr w:type="spellEnd"/>
      <w:r w:rsidRPr="001E7320">
        <w:rPr>
          <w:szCs w:val="28"/>
        </w:rPr>
        <w:t xml:space="preserve"> RO274</w:t>
      </w:r>
      <w:r w:rsidR="00D5256E">
        <w:rPr>
          <w:szCs w:val="28"/>
        </w:rPr>
        <w:t xml:space="preserve">57340, a </w:t>
      </w:r>
      <w:proofErr w:type="spellStart"/>
      <w:r w:rsidR="00D5256E">
        <w:rPr>
          <w:szCs w:val="28"/>
        </w:rPr>
        <w:t>desfășurat</w:t>
      </w:r>
      <w:proofErr w:type="spellEnd"/>
      <w:r w:rsidR="00D5256E">
        <w:rPr>
          <w:szCs w:val="28"/>
        </w:rPr>
        <w:t xml:space="preserve"> </w:t>
      </w:r>
      <w:proofErr w:type="spellStart"/>
      <w:r w:rsidR="00D5256E">
        <w:rPr>
          <w:szCs w:val="28"/>
        </w:rPr>
        <w:t>în</w:t>
      </w:r>
      <w:proofErr w:type="spellEnd"/>
      <w:r w:rsidR="00D5256E">
        <w:rPr>
          <w:szCs w:val="28"/>
        </w:rPr>
        <w:t xml:space="preserve"> </w:t>
      </w:r>
      <w:proofErr w:type="spellStart"/>
      <w:r w:rsidR="00D5256E">
        <w:rPr>
          <w:szCs w:val="28"/>
        </w:rPr>
        <w:t>anul</w:t>
      </w:r>
      <w:proofErr w:type="spellEnd"/>
      <w:r w:rsidR="00D5256E">
        <w:rPr>
          <w:szCs w:val="28"/>
        </w:rPr>
        <w:t xml:space="preserve"> 2018</w:t>
      </w:r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activită</w:t>
      </w:r>
      <w:r w:rsidR="008D4BF2">
        <w:rPr>
          <w:szCs w:val="28"/>
        </w:rPr>
        <w:t>ți</w:t>
      </w:r>
      <w:proofErr w:type="spellEnd"/>
      <w:r w:rsidR="008D4BF2">
        <w:rPr>
          <w:szCs w:val="28"/>
        </w:rPr>
        <w:t xml:space="preserve"> de </w:t>
      </w:r>
      <w:proofErr w:type="spellStart"/>
      <w:r w:rsidR="008D4BF2">
        <w:rPr>
          <w:szCs w:val="28"/>
        </w:rPr>
        <w:t>prestări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servicii</w:t>
      </w:r>
      <w:proofErr w:type="spellEnd"/>
      <w:r w:rsidR="008D4BF2">
        <w:rPr>
          <w:szCs w:val="28"/>
        </w:rPr>
        <w:t xml:space="preserve">, </w:t>
      </w:r>
      <w:proofErr w:type="spellStart"/>
      <w:r w:rsidR="008D4BF2">
        <w:rPr>
          <w:szCs w:val="28"/>
        </w:rPr>
        <w:t>realizâ</w:t>
      </w:r>
      <w:r w:rsidRPr="001E7320">
        <w:rPr>
          <w:szCs w:val="28"/>
        </w:rPr>
        <w:t>nd</w:t>
      </w:r>
      <w:proofErr w:type="spellEnd"/>
      <w:r w:rsidRPr="001E7320">
        <w:rPr>
          <w:szCs w:val="28"/>
        </w:rPr>
        <w:t xml:space="preserve"> </w:t>
      </w:r>
      <w:proofErr w:type="spellStart"/>
      <w:r w:rsidR="0057254C" w:rsidRPr="001E7320">
        <w:rPr>
          <w:szCs w:val="28"/>
        </w:rPr>
        <w:t>urm</w:t>
      </w:r>
      <w:proofErr w:type="spellEnd"/>
      <w:r w:rsidR="0057254C" w:rsidRPr="001E7320">
        <w:rPr>
          <w:szCs w:val="28"/>
          <w:lang w:val="ro-RO"/>
        </w:rPr>
        <w:t>ător</w:t>
      </w:r>
      <w:r w:rsidR="008D4BF2">
        <w:rPr>
          <w:szCs w:val="28"/>
          <w:lang w:val="ro-RO"/>
        </w:rPr>
        <w:t>ii indicatori</w:t>
      </w:r>
      <w:r w:rsidR="0057254C" w:rsidRPr="001E7320">
        <w:rPr>
          <w:szCs w:val="28"/>
          <w:lang w:val="ro-RO"/>
        </w:rPr>
        <w:t>:</w:t>
      </w:r>
    </w:p>
    <w:p w:rsidR="00E7159F" w:rsidRPr="001E7320" w:rsidRDefault="0057254C" w:rsidP="00E7159F">
      <w:pPr>
        <w:jc w:val="both"/>
        <w:rPr>
          <w:szCs w:val="28"/>
        </w:rPr>
      </w:pPr>
      <w:r w:rsidRPr="001E7320">
        <w:rPr>
          <w:szCs w:val="28"/>
        </w:rPr>
        <w:t xml:space="preserve">                 </w:t>
      </w:r>
    </w:p>
    <w:p w:rsidR="0057254C" w:rsidRPr="008D4BF2" w:rsidRDefault="0057254C" w:rsidP="00E7159F">
      <w:pPr>
        <w:jc w:val="both"/>
        <w:rPr>
          <w:szCs w:val="28"/>
        </w:rPr>
      </w:pPr>
      <w:r w:rsidRPr="001E7320">
        <w:rPr>
          <w:b/>
          <w:szCs w:val="28"/>
        </w:rPr>
        <w:t xml:space="preserve">                </w:t>
      </w:r>
      <w:r w:rsidRPr="008D4BF2">
        <w:rPr>
          <w:b/>
          <w:szCs w:val="28"/>
        </w:rPr>
        <w:t xml:space="preserve">»    </w:t>
      </w:r>
      <w:proofErr w:type="spellStart"/>
      <w:r w:rsidRPr="008D4BF2">
        <w:rPr>
          <w:szCs w:val="28"/>
        </w:rPr>
        <w:t>Venituri</w:t>
      </w:r>
      <w:proofErr w:type="spellEnd"/>
      <w:r w:rsidRPr="008D4BF2">
        <w:rPr>
          <w:szCs w:val="28"/>
        </w:rPr>
        <w:t xml:space="preserve"> </w:t>
      </w:r>
      <w:proofErr w:type="spellStart"/>
      <w:r w:rsidRPr="008D4BF2">
        <w:rPr>
          <w:szCs w:val="28"/>
        </w:rPr>
        <w:t>totale</w:t>
      </w:r>
      <w:proofErr w:type="spellEnd"/>
      <w:r w:rsidRPr="008D4BF2">
        <w:rPr>
          <w:szCs w:val="28"/>
        </w:rPr>
        <w:t xml:space="preserve">       </w:t>
      </w:r>
      <w:r w:rsidR="0016330A" w:rsidRPr="008D4BF2">
        <w:rPr>
          <w:szCs w:val="28"/>
        </w:rPr>
        <w:t xml:space="preserve">                    -  </w:t>
      </w:r>
      <w:r w:rsidR="009956FE">
        <w:rPr>
          <w:szCs w:val="28"/>
        </w:rPr>
        <w:t xml:space="preserve"> </w:t>
      </w:r>
      <w:proofErr w:type="gramStart"/>
      <w:r w:rsidR="0016330A" w:rsidRPr="008D4BF2">
        <w:rPr>
          <w:szCs w:val="28"/>
        </w:rPr>
        <w:t>8.206.398</w:t>
      </w:r>
      <w:r w:rsidR="001E7320" w:rsidRPr="008D4BF2">
        <w:rPr>
          <w:szCs w:val="28"/>
        </w:rPr>
        <w:t xml:space="preserve"> </w:t>
      </w:r>
      <w:r w:rsidRPr="008D4BF2">
        <w:rPr>
          <w:szCs w:val="28"/>
        </w:rPr>
        <w:t xml:space="preserve"> lei</w:t>
      </w:r>
      <w:proofErr w:type="gramEnd"/>
    </w:p>
    <w:p w:rsidR="0057254C" w:rsidRPr="008D4BF2" w:rsidRDefault="0057254C" w:rsidP="00E7159F">
      <w:pPr>
        <w:jc w:val="both"/>
        <w:rPr>
          <w:szCs w:val="28"/>
        </w:rPr>
      </w:pPr>
      <w:r w:rsidRPr="008D4BF2">
        <w:rPr>
          <w:b/>
          <w:szCs w:val="28"/>
        </w:rPr>
        <w:t xml:space="preserve">                »</w:t>
      </w:r>
      <w:r w:rsidRPr="008D4BF2">
        <w:rPr>
          <w:szCs w:val="28"/>
        </w:rPr>
        <w:t xml:space="preserve">    </w:t>
      </w:r>
      <w:proofErr w:type="spellStart"/>
      <w:r w:rsidRPr="008D4BF2">
        <w:rPr>
          <w:szCs w:val="28"/>
        </w:rPr>
        <w:t>Cheltuieli</w:t>
      </w:r>
      <w:proofErr w:type="spellEnd"/>
      <w:r w:rsidRPr="008D4BF2">
        <w:rPr>
          <w:szCs w:val="28"/>
        </w:rPr>
        <w:t xml:space="preserve"> </w:t>
      </w:r>
      <w:proofErr w:type="spellStart"/>
      <w:r w:rsidRPr="008D4BF2">
        <w:rPr>
          <w:szCs w:val="28"/>
        </w:rPr>
        <w:t>to</w:t>
      </w:r>
      <w:r w:rsidR="0016330A" w:rsidRPr="008D4BF2">
        <w:rPr>
          <w:szCs w:val="28"/>
        </w:rPr>
        <w:t>tale</w:t>
      </w:r>
      <w:proofErr w:type="spellEnd"/>
      <w:r w:rsidR="0016330A" w:rsidRPr="008D4BF2">
        <w:rPr>
          <w:szCs w:val="28"/>
        </w:rPr>
        <w:t xml:space="preserve">                       </w:t>
      </w:r>
      <w:r w:rsidR="008D4BF2">
        <w:rPr>
          <w:szCs w:val="28"/>
        </w:rPr>
        <w:t xml:space="preserve"> </w:t>
      </w:r>
      <w:r w:rsidR="0016330A" w:rsidRPr="008D4BF2">
        <w:rPr>
          <w:szCs w:val="28"/>
        </w:rPr>
        <w:t xml:space="preserve"> -  </w:t>
      </w:r>
      <w:r w:rsidR="001E7320" w:rsidRPr="008D4BF2">
        <w:rPr>
          <w:szCs w:val="28"/>
        </w:rPr>
        <w:t xml:space="preserve"> </w:t>
      </w:r>
      <w:proofErr w:type="gramStart"/>
      <w:r w:rsidR="0016330A" w:rsidRPr="008D4BF2">
        <w:rPr>
          <w:szCs w:val="28"/>
        </w:rPr>
        <w:t>7.939.997</w:t>
      </w:r>
      <w:r w:rsidRPr="008D4BF2">
        <w:rPr>
          <w:szCs w:val="28"/>
        </w:rPr>
        <w:t xml:space="preserve"> </w:t>
      </w:r>
      <w:r w:rsidR="0016330A" w:rsidRPr="008D4BF2">
        <w:rPr>
          <w:szCs w:val="28"/>
        </w:rPr>
        <w:t xml:space="preserve"> </w:t>
      </w:r>
      <w:r w:rsidRPr="008D4BF2">
        <w:rPr>
          <w:szCs w:val="28"/>
        </w:rPr>
        <w:t>lei</w:t>
      </w:r>
      <w:proofErr w:type="gramEnd"/>
    </w:p>
    <w:p w:rsidR="0057254C" w:rsidRPr="008D4BF2" w:rsidRDefault="0057254C" w:rsidP="00E7159F">
      <w:pPr>
        <w:jc w:val="both"/>
        <w:rPr>
          <w:szCs w:val="28"/>
        </w:rPr>
      </w:pPr>
      <w:r w:rsidRPr="008D4BF2">
        <w:rPr>
          <w:szCs w:val="28"/>
        </w:rPr>
        <w:t xml:space="preserve">                </w:t>
      </w:r>
      <w:r w:rsidRPr="008D4BF2">
        <w:rPr>
          <w:b/>
          <w:szCs w:val="28"/>
        </w:rPr>
        <w:t>»</w:t>
      </w:r>
      <w:r w:rsidRPr="008D4BF2">
        <w:rPr>
          <w:szCs w:val="28"/>
        </w:rPr>
        <w:t xml:space="preserve">    Profit brut                              </w:t>
      </w:r>
      <w:r w:rsidR="008D4BF2">
        <w:rPr>
          <w:szCs w:val="28"/>
        </w:rPr>
        <w:t xml:space="preserve"> </w:t>
      </w:r>
      <w:r w:rsidR="009956FE">
        <w:rPr>
          <w:szCs w:val="28"/>
        </w:rPr>
        <w:t xml:space="preserve">   -      </w:t>
      </w:r>
      <w:proofErr w:type="gramStart"/>
      <w:r w:rsidR="0016330A" w:rsidRPr="008D4BF2">
        <w:rPr>
          <w:szCs w:val="28"/>
        </w:rPr>
        <w:t>266.401</w:t>
      </w:r>
      <w:r w:rsidR="009956FE">
        <w:rPr>
          <w:szCs w:val="28"/>
        </w:rPr>
        <w:t xml:space="preserve"> </w:t>
      </w:r>
      <w:r w:rsidRPr="008D4BF2">
        <w:rPr>
          <w:szCs w:val="28"/>
        </w:rPr>
        <w:t xml:space="preserve"> lei</w:t>
      </w:r>
      <w:proofErr w:type="gramEnd"/>
    </w:p>
    <w:p w:rsidR="0057254C" w:rsidRPr="008D4BF2" w:rsidRDefault="0057254C" w:rsidP="00E7159F">
      <w:pPr>
        <w:jc w:val="both"/>
        <w:rPr>
          <w:szCs w:val="28"/>
        </w:rPr>
      </w:pPr>
      <w:r w:rsidRPr="008D4BF2">
        <w:rPr>
          <w:b/>
          <w:szCs w:val="28"/>
        </w:rPr>
        <w:t xml:space="preserve">                »</w:t>
      </w:r>
      <w:r w:rsidRPr="008D4BF2">
        <w:rPr>
          <w:szCs w:val="28"/>
        </w:rPr>
        <w:t xml:space="preserve">    Profit </w:t>
      </w:r>
      <w:proofErr w:type="spellStart"/>
      <w:r w:rsidRPr="008D4BF2">
        <w:rPr>
          <w:szCs w:val="28"/>
        </w:rPr>
        <w:t>impozabil</w:t>
      </w:r>
      <w:proofErr w:type="spellEnd"/>
      <w:r w:rsidRPr="008D4BF2">
        <w:rPr>
          <w:szCs w:val="28"/>
        </w:rPr>
        <w:t xml:space="preserve">                     </w:t>
      </w:r>
      <w:r w:rsidR="008D4BF2">
        <w:rPr>
          <w:szCs w:val="28"/>
        </w:rPr>
        <w:t xml:space="preserve"> </w:t>
      </w:r>
      <w:r w:rsidRPr="008D4BF2">
        <w:rPr>
          <w:szCs w:val="28"/>
        </w:rPr>
        <w:t xml:space="preserve">   -      </w:t>
      </w:r>
      <w:proofErr w:type="gramStart"/>
      <w:r w:rsidR="0016330A" w:rsidRPr="008D4BF2">
        <w:rPr>
          <w:szCs w:val="28"/>
        </w:rPr>
        <w:t>276.017</w:t>
      </w:r>
      <w:r w:rsidRPr="008D4BF2">
        <w:rPr>
          <w:szCs w:val="28"/>
        </w:rPr>
        <w:t xml:space="preserve"> </w:t>
      </w:r>
      <w:r w:rsidR="009956FE">
        <w:rPr>
          <w:szCs w:val="28"/>
        </w:rPr>
        <w:t xml:space="preserve"> </w:t>
      </w:r>
      <w:r w:rsidRPr="008D4BF2">
        <w:rPr>
          <w:szCs w:val="28"/>
        </w:rPr>
        <w:t>lei</w:t>
      </w:r>
      <w:proofErr w:type="gramEnd"/>
    </w:p>
    <w:p w:rsidR="0057254C" w:rsidRPr="008D4BF2" w:rsidRDefault="0057254C" w:rsidP="00E7159F">
      <w:pPr>
        <w:jc w:val="both"/>
        <w:rPr>
          <w:szCs w:val="28"/>
        </w:rPr>
      </w:pPr>
      <w:r w:rsidRPr="008D4BF2">
        <w:rPr>
          <w:szCs w:val="28"/>
        </w:rPr>
        <w:t xml:space="preserve">                </w:t>
      </w:r>
      <w:r w:rsidRPr="008D4BF2">
        <w:rPr>
          <w:b/>
          <w:szCs w:val="28"/>
        </w:rPr>
        <w:t>»</w:t>
      </w:r>
      <w:r w:rsidRPr="008D4BF2">
        <w:rPr>
          <w:szCs w:val="28"/>
        </w:rPr>
        <w:t xml:space="preserve">    </w:t>
      </w:r>
      <w:proofErr w:type="spellStart"/>
      <w:r w:rsidRPr="008D4BF2">
        <w:rPr>
          <w:szCs w:val="28"/>
        </w:rPr>
        <w:t>Impozit</w:t>
      </w:r>
      <w:proofErr w:type="spellEnd"/>
      <w:r w:rsidRPr="008D4BF2">
        <w:rPr>
          <w:szCs w:val="28"/>
        </w:rPr>
        <w:t xml:space="preserve"> </w:t>
      </w:r>
      <w:proofErr w:type="spellStart"/>
      <w:r w:rsidRPr="008D4BF2">
        <w:rPr>
          <w:szCs w:val="28"/>
        </w:rPr>
        <w:t>pe</w:t>
      </w:r>
      <w:proofErr w:type="spellEnd"/>
      <w:r w:rsidRPr="008D4BF2">
        <w:rPr>
          <w:szCs w:val="28"/>
        </w:rPr>
        <w:t xml:space="preserve"> profit                     </w:t>
      </w:r>
      <w:r w:rsidR="008D4BF2">
        <w:rPr>
          <w:szCs w:val="28"/>
        </w:rPr>
        <w:t xml:space="preserve"> </w:t>
      </w:r>
      <w:r w:rsidRPr="008D4BF2">
        <w:rPr>
          <w:szCs w:val="28"/>
        </w:rPr>
        <w:t xml:space="preserve">  -        </w:t>
      </w:r>
      <w:proofErr w:type="gramStart"/>
      <w:r w:rsidR="0016330A" w:rsidRPr="008D4BF2">
        <w:rPr>
          <w:szCs w:val="28"/>
        </w:rPr>
        <w:t>44.163</w:t>
      </w:r>
      <w:r w:rsidR="005173D6" w:rsidRPr="008D4BF2">
        <w:rPr>
          <w:szCs w:val="28"/>
        </w:rPr>
        <w:t xml:space="preserve"> </w:t>
      </w:r>
      <w:r w:rsidR="009956FE">
        <w:rPr>
          <w:szCs w:val="28"/>
        </w:rPr>
        <w:t xml:space="preserve"> </w:t>
      </w:r>
      <w:r w:rsidR="005173D6" w:rsidRPr="008D4BF2">
        <w:rPr>
          <w:szCs w:val="28"/>
        </w:rPr>
        <w:t>lei</w:t>
      </w:r>
      <w:proofErr w:type="gramEnd"/>
    </w:p>
    <w:p w:rsidR="005173D6" w:rsidRPr="008D4BF2" w:rsidRDefault="005173D6" w:rsidP="00E7159F">
      <w:pPr>
        <w:jc w:val="both"/>
        <w:rPr>
          <w:szCs w:val="28"/>
        </w:rPr>
      </w:pPr>
      <w:r w:rsidRPr="008D4BF2">
        <w:rPr>
          <w:szCs w:val="28"/>
        </w:rPr>
        <w:t xml:space="preserve">               </w:t>
      </w:r>
      <w:r w:rsidRPr="008D4BF2">
        <w:rPr>
          <w:b/>
          <w:szCs w:val="28"/>
        </w:rPr>
        <w:t xml:space="preserve"> »</w:t>
      </w:r>
      <w:r w:rsidRPr="008D4BF2">
        <w:rPr>
          <w:szCs w:val="28"/>
        </w:rPr>
        <w:t xml:space="preserve">    Profit net                                   -      </w:t>
      </w:r>
      <w:r w:rsidR="009956FE">
        <w:rPr>
          <w:szCs w:val="28"/>
        </w:rPr>
        <w:t xml:space="preserve"> </w:t>
      </w:r>
      <w:proofErr w:type="gramStart"/>
      <w:r w:rsidR="0016330A" w:rsidRPr="008D4BF2">
        <w:rPr>
          <w:szCs w:val="28"/>
        </w:rPr>
        <w:t>222.238</w:t>
      </w:r>
      <w:r w:rsidR="009956FE">
        <w:rPr>
          <w:szCs w:val="28"/>
        </w:rPr>
        <w:t xml:space="preserve">  </w:t>
      </w:r>
      <w:r w:rsidRPr="008D4BF2">
        <w:rPr>
          <w:szCs w:val="28"/>
        </w:rPr>
        <w:t>lei</w:t>
      </w:r>
      <w:proofErr w:type="gramEnd"/>
    </w:p>
    <w:p w:rsidR="005173D6" w:rsidRDefault="005173D6" w:rsidP="00E715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5173D6" w:rsidRPr="001E7320" w:rsidRDefault="005173D6" w:rsidP="00E7159F">
      <w:pPr>
        <w:jc w:val="both"/>
        <w:rPr>
          <w:szCs w:val="28"/>
        </w:rPr>
      </w:pPr>
      <w:r>
        <w:rPr>
          <w:sz w:val="24"/>
          <w:szCs w:val="24"/>
        </w:rPr>
        <w:t xml:space="preserve">   </w:t>
      </w:r>
      <w:r w:rsidR="001E7320">
        <w:rPr>
          <w:sz w:val="24"/>
          <w:szCs w:val="24"/>
        </w:rPr>
        <w:t xml:space="preserve">       </w:t>
      </w:r>
      <w:r w:rsidR="008D4BF2">
        <w:rPr>
          <w:sz w:val="24"/>
          <w:szCs w:val="24"/>
        </w:rPr>
        <w:t xml:space="preserve">  </w:t>
      </w:r>
      <w:proofErr w:type="spellStart"/>
      <w:r w:rsidRPr="001E7320">
        <w:rPr>
          <w:szCs w:val="28"/>
        </w:rPr>
        <w:t>Profi</w:t>
      </w:r>
      <w:r w:rsidR="0016330A">
        <w:rPr>
          <w:szCs w:val="28"/>
        </w:rPr>
        <w:t>tul</w:t>
      </w:r>
      <w:proofErr w:type="spellEnd"/>
      <w:r w:rsidR="0016330A">
        <w:rPr>
          <w:szCs w:val="28"/>
        </w:rPr>
        <w:t xml:space="preserve"> net </w:t>
      </w:r>
      <w:proofErr w:type="spellStart"/>
      <w:r w:rsidR="0016330A">
        <w:rPr>
          <w:szCs w:val="28"/>
        </w:rPr>
        <w:t>în</w:t>
      </w:r>
      <w:proofErr w:type="spellEnd"/>
      <w:r w:rsidR="0016330A">
        <w:rPr>
          <w:szCs w:val="28"/>
        </w:rPr>
        <w:t xml:space="preserve"> </w:t>
      </w:r>
      <w:proofErr w:type="spellStart"/>
      <w:r w:rsidR="0016330A">
        <w:rPr>
          <w:szCs w:val="28"/>
        </w:rPr>
        <w:t>sumă</w:t>
      </w:r>
      <w:proofErr w:type="spellEnd"/>
      <w:r w:rsidR="0016330A">
        <w:rPr>
          <w:szCs w:val="28"/>
        </w:rPr>
        <w:t xml:space="preserve"> de 222.238</w:t>
      </w:r>
      <w:r w:rsidR="001E7320">
        <w:rPr>
          <w:szCs w:val="28"/>
        </w:rPr>
        <w:t xml:space="preserve"> lei, </w:t>
      </w:r>
      <w:r w:rsidRPr="001E7320">
        <w:rPr>
          <w:szCs w:val="28"/>
        </w:rPr>
        <w:t xml:space="preserve">s-a </w:t>
      </w:r>
      <w:proofErr w:type="spellStart"/>
      <w:r w:rsidRPr="001E7320">
        <w:rPr>
          <w:szCs w:val="28"/>
        </w:rPr>
        <w:t>propus</w:t>
      </w:r>
      <w:proofErr w:type="spellEnd"/>
      <w:r w:rsidRPr="001E7320">
        <w:rPr>
          <w:szCs w:val="28"/>
        </w:rPr>
        <w:t xml:space="preserve"> </w:t>
      </w:r>
      <w:proofErr w:type="spellStart"/>
      <w:proofErr w:type="gramStart"/>
      <w:r w:rsidRPr="001E7320">
        <w:rPr>
          <w:szCs w:val="28"/>
        </w:rPr>
        <w:t>să</w:t>
      </w:r>
      <w:proofErr w:type="spellEnd"/>
      <w:proofErr w:type="gramEnd"/>
      <w:r w:rsidRPr="001E7320">
        <w:rPr>
          <w:szCs w:val="28"/>
        </w:rPr>
        <w:t xml:space="preserve"> fie </w:t>
      </w:r>
      <w:proofErr w:type="spellStart"/>
      <w:r w:rsidRPr="001E7320">
        <w:rPr>
          <w:szCs w:val="28"/>
        </w:rPr>
        <w:t>repartizat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după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scă</w:t>
      </w:r>
      <w:r w:rsidR="0016330A">
        <w:rPr>
          <w:szCs w:val="28"/>
        </w:rPr>
        <w:t>de</w:t>
      </w:r>
      <w:r w:rsidR="008D4BF2">
        <w:rPr>
          <w:szCs w:val="28"/>
        </w:rPr>
        <w:t>rea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rezervei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legale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în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sumă</w:t>
      </w:r>
      <w:proofErr w:type="spellEnd"/>
      <w:r w:rsidR="0016330A">
        <w:rPr>
          <w:szCs w:val="28"/>
        </w:rPr>
        <w:t xml:space="preserve"> de 6</w:t>
      </w:r>
      <w:r w:rsidR="008D4BF2">
        <w:rPr>
          <w:szCs w:val="28"/>
        </w:rPr>
        <w:t>.</w:t>
      </w:r>
      <w:r w:rsidR="0016330A">
        <w:rPr>
          <w:szCs w:val="28"/>
        </w:rPr>
        <w:t xml:space="preserve">937 lei, </w:t>
      </w:r>
      <w:r w:rsidRPr="001E7320">
        <w:rPr>
          <w:szCs w:val="28"/>
        </w:rPr>
        <w:t>conform O.G.</w:t>
      </w:r>
      <w:r w:rsidR="008D4BF2">
        <w:rPr>
          <w:szCs w:val="28"/>
        </w:rPr>
        <w:t xml:space="preserve"> </w:t>
      </w:r>
      <w:r w:rsidRPr="001E7320">
        <w:rPr>
          <w:szCs w:val="28"/>
        </w:rPr>
        <w:t>nr.</w:t>
      </w:r>
      <w:r w:rsidR="008D4BF2">
        <w:rPr>
          <w:szCs w:val="28"/>
        </w:rPr>
        <w:t xml:space="preserve"> </w:t>
      </w:r>
      <w:r w:rsidRPr="001E7320">
        <w:rPr>
          <w:szCs w:val="28"/>
        </w:rPr>
        <w:t>64/2001</w:t>
      </w:r>
      <w:r w:rsidR="00E83A6A">
        <w:rPr>
          <w:szCs w:val="28"/>
        </w:rPr>
        <w:t xml:space="preserve"> cu </w:t>
      </w:r>
      <w:proofErr w:type="spellStart"/>
      <w:r w:rsidR="00E83A6A">
        <w:rPr>
          <w:szCs w:val="28"/>
        </w:rPr>
        <w:t>privire</w:t>
      </w:r>
      <w:proofErr w:type="spellEnd"/>
      <w:r w:rsidR="00E83A6A">
        <w:rPr>
          <w:szCs w:val="28"/>
        </w:rPr>
        <w:t xml:space="preserve"> la </w:t>
      </w:r>
      <w:proofErr w:type="spellStart"/>
      <w:r w:rsidR="00E83A6A">
        <w:rPr>
          <w:szCs w:val="28"/>
        </w:rPr>
        <w:t>repartizarea</w:t>
      </w:r>
      <w:proofErr w:type="spellEnd"/>
      <w:r w:rsidR="00E83A6A">
        <w:rPr>
          <w:szCs w:val="28"/>
        </w:rPr>
        <w:t xml:space="preserve"> </w:t>
      </w:r>
      <w:r w:rsidR="00E83A6A" w:rsidRPr="00E83A6A">
        <w:rPr>
          <w:szCs w:val="28"/>
          <w:lang w:val="ro-RO"/>
        </w:rPr>
        <w:t>profitului</w:t>
      </w:r>
      <w:r w:rsidR="00E83A6A">
        <w:rPr>
          <w:szCs w:val="28"/>
        </w:rPr>
        <w:t xml:space="preserve"> la </w:t>
      </w:r>
      <w:proofErr w:type="spellStart"/>
      <w:r w:rsidR="00E83A6A">
        <w:rPr>
          <w:szCs w:val="28"/>
        </w:rPr>
        <w:t>societățile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naționale</w:t>
      </w:r>
      <w:proofErr w:type="gramStart"/>
      <w:r w:rsidR="00E83A6A">
        <w:rPr>
          <w:szCs w:val="28"/>
        </w:rPr>
        <w:t>,companiile</w:t>
      </w:r>
      <w:proofErr w:type="spellEnd"/>
      <w:proofErr w:type="gram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naționale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și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societatile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comerciale</w:t>
      </w:r>
      <w:proofErr w:type="spellEnd"/>
      <w:r w:rsidR="00E83A6A">
        <w:rPr>
          <w:szCs w:val="28"/>
        </w:rPr>
        <w:t xml:space="preserve"> cu capital integral </w:t>
      </w:r>
      <w:proofErr w:type="spellStart"/>
      <w:r w:rsidR="00E83A6A">
        <w:rPr>
          <w:szCs w:val="28"/>
        </w:rPr>
        <w:t>sau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majoritar</w:t>
      </w:r>
      <w:proofErr w:type="spellEnd"/>
      <w:r w:rsidR="00E83A6A">
        <w:rPr>
          <w:szCs w:val="28"/>
        </w:rPr>
        <w:t xml:space="preserve"> de stat, </w:t>
      </w:r>
      <w:proofErr w:type="spellStart"/>
      <w:r w:rsidR="00E83A6A">
        <w:rPr>
          <w:szCs w:val="28"/>
        </w:rPr>
        <w:t>precum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și</w:t>
      </w:r>
      <w:proofErr w:type="spellEnd"/>
      <w:r w:rsidR="00E83A6A">
        <w:rPr>
          <w:szCs w:val="28"/>
        </w:rPr>
        <w:t xml:space="preserve"> la </w:t>
      </w:r>
      <w:proofErr w:type="spellStart"/>
      <w:r w:rsidR="00E83A6A">
        <w:rPr>
          <w:szCs w:val="28"/>
        </w:rPr>
        <w:t>regiile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autonome</w:t>
      </w:r>
      <w:proofErr w:type="spellEnd"/>
      <w:r w:rsidR="00E83A6A">
        <w:rPr>
          <w:szCs w:val="28"/>
        </w:rPr>
        <w:t xml:space="preserve">, </w:t>
      </w:r>
      <w:proofErr w:type="spellStart"/>
      <w:r w:rsidR="00D5256E">
        <w:rPr>
          <w:szCs w:val="28"/>
        </w:rPr>
        <w:t>pe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următoarele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destinații</w:t>
      </w:r>
      <w:proofErr w:type="spellEnd"/>
      <w:r w:rsidRPr="001E7320">
        <w:rPr>
          <w:szCs w:val="28"/>
        </w:rPr>
        <w:t>:</w:t>
      </w:r>
    </w:p>
    <w:p w:rsidR="005173D6" w:rsidRDefault="00323B1D" w:rsidP="00E715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5173D6" w:rsidRPr="001E7320" w:rsidRDefault="005173D6" w:rsidP="00E7159F">
      <w:pPr>
        <w:jc w:val="both"/>
        <w:rPr>
          <w:szCs w:val="28"/>
        </w:rPr>
      </w:pPr>
      <w:r w:rsidRPr="001E7320">
        <w:rPr>
          <w:b/>
          <w:szCs w:val="28"/>
        </w:rPr>
        <w:t xml:space="preserve">               </w:t>
      </w:r>
      <w:r w:rsidR="008D4BF2">
        <w:rPr>
          <w:b/>
          <w:szCs w:val="28"/>
        </w:rPr>
        <w:t xml:space="preserve"> </w:t>
      </w:r>
      <w:r w:rsidRPr="001E7320">
        <w:rPr>
          <w:b/>
          <w:szCs w:val="28"/>
        </w:rPr>
        <w:t>»</w:t>
      </w:r>
      <w:r w:rsidR="008D4BF2">
        <w:rPr>
          <w:szCs w:val="28"/>
        </w:rPr>
        <w:t xml:space="preserve">    </w:t>
      </w:r>
      <w:proofErr w:type="spellStart"/>
      <w:r w:rsidR="008D4BF2">
        <w:rPr>
          <w:szCs w:val="28"/>
        </w:rPr>
        <w:t>Vărsă</w:t>
      </w:r>
      <w:r w:rsidRPr="001E7320">
        <w:rPr>
          <w:szCs w:val="28"/>
        </w:rPr>
        <w:t>minte</w:t>
      </w:r>
      <w:proofErr w:type="spellEnd"/>
      <w:r w:rsidRPr="001E7320">
        <w:rPr>
          <w:szCs w:val="28"/>
        </w:rPr>
        <w:t xml:space="preserve"> la </w:t>
      </w:r>
      <w:proofErr w:type="spellStart"/>
      <w:r w:rsidRPr="001E7320">
        <w:rPr>
          <w:szCs w:val="28"/>
        </w:rPr>
        <w:t>Con</w:t>
      </w:r>
      <w:r w:rsidR="00D5256E">
        <w:rPr>
          <w:szCs w:val="28"/>
        </w:rPr>
        <w:t>siliul</w:t>
      </w:r>
      <w:proofErr w:type="spellEnd"/>
      <w:r w:rsidR="00D5256E">
        <w:rPr>
          <w:szCs w:val="28"/>
        </w:rPr>
        <w:t xml:space="preserve"> </w:t>
      </w:r>
      <w:proofErr w:type="spellStart"/>
      <w:r w:rsidR="00D5256E">
        <w:rPr>
          <w:szCs w:val="28"/>
        </w:rPr>
        <w:t>Județean</w:t>
      </w:r>
      <w:proofErr w:type="spellEnd"/>
      <w:r w:rsidR="00D5256E">
        <w:rPr>
          <w:szCs w:val="28"/>
        </w:rPr>
        <w:t xml:space="preserve"> </w:t>
      </w:r>
      <w:proofErr w:type="spellStart"/>
      <w:r w:rsidR="00D5256E">
        <w:rPr>
          <w:szCs w:val="28"/>
        </w:rPr>
        <w:t>Arge</w:t>
      </w:r>
      <w:proofErr w:type="gramStart"/>
      <w:r w:rsidR="00D5256E">
        <w:rPr>
          <w:szCs w:val="28"/>
        </w:rPr>
        <w:t>ș</w:t>
      </w:r>
      <w:proofErr w:type="spellEnd"/>
      <w:r w:rsidR="00D5256E">
        <w:rPr>
          <w:szCs w:val="28"/>
        </w:rPr>
        <w:t xml:space="preserve">  -</w:t>
      </w:r>
      <w:proofErr w:type="gramEnd"/>
      <w:r w:rsidR="00D5256E">
        <w:rPr>
          <w:szCs w:val="28"/>
        </w:rPr>
        <w:t xml:space="preserve"> </w:t>
      </w:r>
      <w:r w:rsidR="009956FE">
        <w:rPr>
          <w:szCs w:val="28"/>
        </w:rPr>
        <w:t xml:space="preserve"> </w:t>
      </w:r>
      <w:r w:rsidR="00D5256E">
        <w:rPr>
          <w:szCs w:val="28"/>
        </w:rPr>
        <w:t>107.651</w:t>
      </w:r>
      <w:r w:rsidRPr="001E7320">
        <w:rPr>
          <w:szCs w:val="28"/>
        </w:rPr>
        <w:t xml:space="preserve"> lei</w:t>
      </w:r>
    </w:p>
    <w:p w:rsidR="005173D6" w:rsidRPr="001E7320" w:rsidRDefault="005173D6" w:rsidP="00E7159F">
      <w:pPr>
        <w:jc w:val="both"/>
        <w:rPr>
          <w:szCs w:val="28"/>
        </w:rPr>
      </w:pPr>
      <w:r w:rsidRPr="001E7320">
        <w:rPr>
          <w:b/>
          <w:szCs w:val="28"/>
        </w:rPr>
        <w:t xml:space="preserve">              </w:t>
      </w:r>
      <w:r w:rsidR="008D4BF2">
        <w:rPr>
          <w:b/>
          <w:szCs w:val="28"/>
        </w:rPr>
        <w:t xml:space="preserve"> </w:t>
      </w:r>
      <w:r w:rsidRPr="001E7320">
        <w:rPr>
          <w:b/>
          <w:szCs w:val="28"/>
        </w:rPr>
        <w:t xml:space="preserve"> »</w:t>
      </w:r>
      <w:r w:rsidR="008D4BF2">
        <w:rPr>
          <w:szCs w:val="28"/>
        </w:rPr>
        <w:t xml:space="preserve">    </w:t>
      </w:r>
      <w:proofErr w:type="spellStart"/>
      <w:r w:rsidR="008D4BF2">
        <w:rPr>
          <w:szCs w:val="28"/>
        </w:rPr>
        <w:t>Surse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proprii</w:t>
      </w:r>
      <w:proofErr w:type="spellEnd"/>
      <w:r w:rsidRPr="001E7320">
        <w:rPr>
          <w:szCs w:val="28"/>
        </w:rPr>
        <w:t xml:space="preserve"> </w:t>
      </w:r>
      <w:r w:rsidR="008D4BF2">
        <w:rPr>
          <w:szCs w:val="28"/>
        </w:rPr>
        <w:t xml:space="preserve">de </w:t>
      </w:r>
      <w:proofErr w:type="spellStart"/>
      <w:r w:rsidR="008D4BF2">
        <w:rPr>
          <w:szCs w:val="28"/>
        </w:rPr>
        <w:t>finanț</w:t>
      </w:r>
      <w:r w:rsidR="00061CC9">
        <w:rPr>
          <w:szCs w:val="28"/>
        </w:rPr>
        <w:t>are</w:t>
      </w:r>
      <w:proofErr w:type="spellEnd"/>
      <w:r w:rsidR="00235B95">
        <w:rPr>
          <w:szCs w:val="28"/>
        </w:rPr>
        <w:t xml:space="preserve">                    </w:t>
      </w:r>
      <w:r w:rsidR="00D5256E">
        <w:rPr>
          <w:szCs w:val="28"/>
        </w:rPr>
        <w:t xml:space="preserve">  </w:t>
      </w:r>
      <w:r w:rsidR="008D4BF2">
        <w:rPr>
          <w:szCs w:val="28"/>
        </w:rPr>
        <w:t xml:space="preserve">  </w:t>
      </w:r>
      <w:proofErr w:type="gramStart"/>
      <w:r w:rsidR="00D5256E">
        <w:rPr>
          <w:szCs w:val="28"/>
        </w:rPr>
        <w:t xml:space="preserve">- </w:t>
      </w:r>
      <w:r w:rsidR="00C84163">
        <w:rPr>
          <w:szCs w:val="28"/>
        </w:rPr>
        <w:t xml:space="preserve"> </w:t>
      </w:r>
      <w:r w:rsidR="00D5256E">
        <w:rPr>
          <w:szCs w:val="28"/>
        </w:rPr>
        <w:t>107.650</w:t>
      </w:r>
      <w:proofErr w:type="gramEnd"/>
      <w:r w:rsidRPr="001E7320">
        <w:rPr>
          <w:szCs w:val="28"/>
        </w:rPr>
        <w:t xml:space="preserve"> lei</w:t>
      </w:r>
    </w:p>
    <w:p w:rsidR="005173D6" w:rsidRDefault="005173D6" w:rsidP="00E715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173D6" w:rsidRPr="001E7320" w:rsidRDefault="005173D6" w:rsidP="00E7159F">
      <w:pPr>
        <w:jc w:val="both"/>
        <w:rPr>
          <w:szCs w:val="28"/>
        </w:rPr>
      </w:pPr>
      <w:r>
        <w:rPr>
          <w:sz w:val="24"/>
          <w:szCs w:val="24"/>
        </w:rPr>
        <w:t xml:space="preserve">  </w:t>
      </w:r>
      <w:r w:rsidR="001E7320">
        <w:rPr>
          <w:sz w:val="24"/>
          <w:szCs w:val="24"/>
        </w:rPr>
        <w:t xml:space="preserve">      </w:t>
      </w:r>
      <w:r w:rsidR="00D5256E">
        <w:rPr>
          <w:sz w:val="24"/>
          <w:szCs w:val="24"/>
        </w:rPr>
        <w:t xml:space="preserve"> </w:t>
      </w:r>
      <w:r w:rsidR="001E7320">
        <w:rPr>
          <w:sz w:val="24"/>
          <w:szCs w:val="24"/>
        </w:rPr>
        <w:t xml:space="preserve"> </w:t>
      </w:r>
      <w:r w:rsidR="008D4BF2">
        <w:rPr>
          <w:sz w:val="24"/>
          <w:szCs w:val="24"/>
        </w:rPr>
        <w:t xml:space="preserve"> </w:t>
      </w:r>
      <w:r w:rsidR="001E7320">
        <w:rPr>
          <w:sz w:val="24"/>
          <w:szCs w:val="24"/>
        </w:rPr>
        <w:t xml:space="preserve"> </w:t>
      </w:r>
      <w:r w:rsidRPr="001E7320">
        <w:rPr>
          <w:szCs w:val="28"/>
        </w:rPr>
        <w:t>L</w:t>
      </w:r>
      <w:r w:rsidR="008D4BF2">
        <w:rPr>
          <w:szCs w:val="28"/>
        </w:rPr>
        <w:t xml:space="preserve">a </w:t>
      </w:r>
      <w:proofErr w:type="spellStart"/>
      <w:r w:rsidR="008D4BF2">
        <w:rPr>
          <w:szCs w:val="28"/>
        </w:rPr>
        <w:t>întocmirea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situațiilor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financi</w:t>
      </w:r>
      <w:r w:rsidRPr="001E7320">
        <w:rPr>
          <w:szCs w:val="28"/>
        </w:rPr>
        <w:t>re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anuale</w:t>
      </w:r>
      <w:proofErr w:type="spellEnd"/>
      <w:r w:rsidRPr="001E7320">
        <w:rPr>
          <w:szCs w:val="28"/>
        </w:rPr>
        <w:t xml:space="preserve"> au </w:t>
      </w:r>
      <w:proofErr w:type="spellStart"/>
      <w:r w:rsidRPr="001E7320">
        <w:rPr>
          <w:szCs w:val="28"/>
        </w:rPr>
        <w:t>fost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respectate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prevederile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Legii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contabilității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nr</w:t>
      </w:r>
      <w:proofErr w:type="spellEnd"/>
      <w:r w:rsidRPr="001E7320">
        <w:rPr>
          <w:szCs w:val="28"/>
        </w:rPr>
        <w:t>.</w:t>
      </w:r>
      <w:r w:rsidR="008D4BF2">
        <w:rPr>
          <w:szCs w:val="28"/>
        </w:rPr>
        <w:t xml:space="preserve"> </w:t>
      </w:r>
      <w:proofErr w:type="gramStart"/>
      <w:r w:rsidRPr="001E7320">
        <w:rPr>
          <w:szCs w:val="28"/>
        </w:rPr>
        <w:t xml:space="preserve">82/1991, </w:t>
      </w:r>
      <w:proofErr w:type="spellStart"/>
      <w:r w:rsidRPr="001E7320">
        <w:rPr>
          <w:szCs w:val="28"/>
        </w:rPr>
        <w:t>republicată</w:t>
      </w:r>
      <w:proofErr w:type="spellEnd"/>
      <w:r w:rsidRPr="001E7320">
        <w:rPr>
          <w:szCs w:val="28"/>
        </w:rPr>
        <w:t xml:space="preserve">, cu </w:t>
      </w:r>
      <w:proofErr w:type="spellStart"/>
      <w:r w:rsidRPr="001E7320">
        <w:rPr>
          <w:szCs w:val="28"/>
        </w:rPr>
        <w:t>modificările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și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complet</w:t>
      </w:r>
      <w:r w:rsidR="00061CC9">
        <w:rPr>
          <w:szCs w:val="28"/>
        </w:rPr>
        <w:t>ările</w:t>
      </w:r>
      <w:proofErr w:type="spellEnd"/>
      <w:r w:rsidR="00061CC9">
        <w:rPr>
          <w:szCs w:val="28"/>
        </w:rPr>
        <w:t xml:space="preserve"> </w:t>
      </w:r>
      <w:proofErr w:type="spellStart"/>
      <w:r w:rsidR="00061CC9">
        <w:rPr>
          <w:szCs w:val="28"/>
        </w:rPr>
        <w:t>ulterioare</w:t>
      </w:r>
      <w:proofErr w:type="spellEnd"/>
      <w:r w:rsidR="00061CC9">
        <w:rPr>
          <w:szCs w:val="28"/>
        </w:rPr>
        <w:t xml:space="preserve">, </w:t>
      </w:r>
      <w:proofErr w:type="spellStart"/>
      <w:r w:rsidR="00061CC9">
        <w:rPr>
          <w:szCs w:val="28"/>
        </w:rPr>
        <w:t>Ordinul</w:t>
      </w:r>
      <w:proofErr w:type="spellEnd"/>
      <w:r w:rsidR="00061CC9">
        <w:rPr>
          <w:szCs w:val="28"/>
        </w:rPr>
        <w:t xml:space="preserve"> </w:t>
      </w:r>
      <w:proofErr w:type="spellStart"/>
      <w:r w:rsidR="00061CC9">
        <w:rPr>
          <w:szCs w:val="28"/>
        </w:rPr>
        <w:t>nr</w:t>
      </w:r>
      <w:proofErr w:type="spellEnd"/>
      <w:r w:rsidR="00061CC9">
        <w:rPr>
          <w:szCs w:val="28"/>
        </w:rPr>
        <w:t>.</w:t>
      </w:r>
      <w:proofErr w:type="gramEnd"/>
      <w:r w:rsidR="008D4BF2">
        <w:rPr>
          <w:szCs w:val="28"/>
        </w:rPr>
        <w:t xml:space="preserve"> </w:t>
      </w:r>
      <w:r w:rsidR="00463EF9">
        <w:rPr>
          <w:szCs w:val="28"/>
        </w:rPr>
        <w:t>10/</w:t>
      </w:r>
      <w:proofErr w:type="gramStart"/>
      <w:r w:rsidR="00463EF9">
        <w:rPr>
          <w:szCs w:val="28"/>
        </w:rPr>
        <w:t>20</w:t>
      </w:r>
      <w:r w:rsidR="00061CC9">
        <w:rPr>
          <w:szCs w:val="28"/>
        </w:rPr>
        <w:t xml:space="preserve">19 </w:t>
      </w:r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privind</w:t>
      </w:r>
      <w:proofErr w:type="spellEnd"/>
      <w:proofErr w:type="gram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principalele</w:t>
      </w:r>
      <w:proofErr w:type="spellEnd"/>
      <w:r w:rsidRPr="001E7320">
        <w:rPr>
          <w:szCs w:val="28"/>
        </w:rPr>
        <w:t xml:space="preserve"> </w:t>
      </w:r>
      <w:proofErr w:type="spellStart"/>
      <w:r w:rsidR="00D5256E">
        <w:rPr>
          <w:szCs w:val="28"/>
        </w:rPr>
        <w:t>aspect</w:t>
      </w:r>
      <w:r w:rsidR="00061CC9">
        <w:rPr>
          <w:szCs w:val="28"/>
        </w:rPr>
        <w:t>e</w:t>
      </w:r>
      <w:proofErr w:type="spellEnd"/>
      <w:r w:rsidR="00D5256E">
        <w:rPr>
          <w:szCs w:val="28"/>
        </w:rPr>
        <w:t xml:space="preserve"> </w:t>
      </w:r>
      <w:r w:rsidRPr="001E7320">
        <w:rPr>
          <w:szCs w:val="28"/>
        </w:rPr>
        <w:t xml:space="preserve">legate de </w:t>
      </w:r>
      <w:proofErr w:type="spellStart"/>
      <w:r w:rsidRPr="001E7320">
        <w:rPr>
          <w:szCs w:val="28"/>
        </w:rPr>
        <w:t>întocmirea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și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depunerea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situațiilor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financiare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anuale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și</w:t>
      </w:r>
      <w:proofErr w:type="spellEnd"/>
      <w:r w:rsidRPr="001E7320">
        <w:rPr>
          <w:szCs w:val="28"/>
        </w:rPr>
        <w:t xml:space="preserve"> a </w:t>
      </w:r>
      <w:proofErr w:type="spellStart"/>
      <w:r w:rsidRPr="001E7320">
        <w:rPr>
          <w:szCs w:val="28"/>
        </w:rPr>
        <w:t>raportărilor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contabile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anuale</w:t>
      </w:r>
      <w:proofErr w:type="spellEnd"/>
      <w:r w:rsidRPr="001E7320">
        <w:rPr>
          <w:szCs w:val="28"/>
        </w:rPr>
        <w:t xml:space="preserve"> ale </w:t>
      </w:r>
      <w:proofErr w:type="spellStart"/>
      <w:r w:rsidRPr="001E7320">
        <w:rPr>
          <w:szCs w:val="28"/>
        </w:rPr>
        <w:t>operatorilor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economici</w:t>
      </w:r>
      <w:proofErr w:type="spellEnd"/>
      <w:r w:rsidRPr="001E7320">
        <w:rPr>
          <w:szCs w:val="28"/>
        </w:rPr>
        <w:t xml:space="preserve"> la </w:t>
      </w:r>
      <w:proofErr w:type="spellStart"/>
      <w:r w:rsidRPr="001E7320">
        <w:rPr>
          <w:szCs w:val="28"/>
        </w:rPr>
        <w:t>unitățile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teritoriale</w:t>
      </w:r>
      <w:proofErr w:type="spellEnd"/>
      <w:r w:rsidRPr="001E7320">
        <w:rPr>
          <w:szCs w:val="28"/>
        </w:rPr>
        <w:t xml:space="preserve"> ale </w:t>
      </w:r>
      <w:proofErr w:type="spellStart"/>
      <w:r w:rsidRPr="001E7320">
        <w:rPr>
          <w:szCs w:val="28"/>
        </w:rPr>
        <w:t>Ministerului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Finanțelor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Publice</w:t>
      </w:r>
      <w:proofErr w:type="spellEnd"/>
      <w:r w:rsidRPr="001E7320">
        <w:rPr>
          <w:szCs w:val="28"/>
        </w:rPr>
        <w:t>.</w:t>
      </w:r>
    </w:p>
    <w:p w:rsidR="00235B95" w:rsidRDefault="0057254C" w:rsidP="00940DB1">
      <w:pPr>
        <w:jc w:val="both"/>
        <w:rPr>
          <w:sz w:val="24"/>
          <w:szCs w:val="24"/>
        </w:rPr>
      </w:pPr>
      <w:r w:rsidRPr="0057254C">
        <w:rPr>
          <w:sz w:val="24"/>
          <w:szCs w:val="24"/>
        </w:rPr>
        <w:t xml:space="preserve">                                  </w:t>
      </w:r>
    </w:p>
    <w:p w:rsidR="008D4BF2" w:rsidRPr="00940DB1" w:rsidRDefault="008D4BF2" w:rsidP="00940DB1">
      <w:pPr>
        <w:jc w:val="both"/>
        <w:rPr>
          <w:sz w:val="24"/>
          <w:szCs w:val="24"/>
        </w:rPr>
      </w:pPr>
    </w:p>
    <w:p w:rsidR="003B4A65" w:rsidRDefault="006678E1" w:rsidP="009956FE">
      <w:pPr>
        <w:spacing w:line="360" w:lineRule="auto"/>
        <w:jc w:val="center"/>
        <w:rPr>
          <w:b/>
          <w:szCs w:val="28"/>
        </w:rPr>
      </w:pPr>
      <w:proofErr w:type="spellStart"/>
      <w:r>
        <w:rPr>
          <w:b/>
          <w:szCs w:val="28"/>
        </w:rPr>
        <w:t>Președinte</w:t>
      </w:r>
      <w:proofErr w:type="spellEnd"/>
      <w:r>
        <w:rPr>
          <w:b/>
          <w:szCs w:val="28"/>
        </w:rPr>
        <w:t xml:space="preserve"> </w:t>
      </w:r>
      <w:proofErr w:type="spellStart"/>
      <w:r w:rsidR="009956FE">
        <w:rPr>
          <w:b/>
          <w:szCs w:val="28"/>
        </w:rPr>
        <w:t>Consiliul</w:t>
      </w:r>
      <w:proofErr w:type="spellEnd"/>
      <w:r w:rsidR="009956FE">
        <w:rPr>
          <w:b/>
          <w:szCs w:val="28"/>
        </w:rPr>
        <w:t xml:space="preserve"> de </w:t>
      </w:r>
      <w:proofErr w:type="spellStart"/>
      <w:r w:rsidR="009956FE">
        <w:rPr>
          <w:b/>
          <w:szCs w:val="28"/>
        </w:rPr>
        <w:t>Administraț</w:t>
      </w:r>
      <w:r>
        <w:rPr>
          <w:b/>
          <w:szCs w:val="28"/>
        </w:rPr>
        <w:t>ie</w:t>
      </w:r>
      <w:proofErr w:type="spellEnd"/>
      <w:r w:rsidR="009956FE">
        <w:rPr>
          <w:b/>
          <w:szCs w:val="28"/>
        </w:rPr>
        <w:t>,</w:t>
      </w:r>
    </w:p>
    <w:p w:rsidR="00433CC7" w:rsidRPr="008D4BF2" w:rsidRDefault="001E7320" w:rsidP="009956FE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GABRIEL MOICEANU</w:t>
      </w:r>
    </w:p>
    <w:sectPr w:rsidR="00433CC7" w:rsidRPr="008D4BF2" w:rsidSect="005619BE">
      <w:pgSz w:w="12240" w:h="15840"/>
      <w:pgMar w:top="63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F596F"/>
    <w:multiLevelType w:val="hybridMultilevel"/>
    <w:tmpl w:val="2116A098"/>
    <w:lvl w:ilvl="0" w:tplc="45DEDEA6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">
    <w:nsid w:val="24F913F3"/>
    <w:multiLevelType w:val="hybridMultilevel"/>
    <w:tmpl w:val="005E5642"/>
    <w:lvl w:ilvl="0" w:tplc="70BC7D44">
      <w:numFmt w:val="bullet"/>
      <w:lvlText w:val="-"/>
      <w:lvlJc w:val="left"/>
      <w:pPr>
        <w:ind w:left="765" w:hanging="360"/>
      </w:pPr>
      <w:rPr>
        <w:rFonts w:ascii="Calibri" w:eastAsiaTheme="minorEastAsia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4C6C0BA5"/>
    <w:multiLevelType w:val="hybridMultilevel"/>
    <w:tmpl w:val="CED2CD5E"/>
    <w:lvl w:ilvl="0" w:tplc="0F84A852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95D"/>
    <w:rsid w:val="00061CC9"/>
    <w:rsid w:val="000B768B"/>
    <w:rsid w:val="0016330A"/>
    <w:rsid w:val="00184B94"/>
    <w:rsid w:val="001E7320"/>
    <w:rsid w:val="0021491D"/>
    <w:rsid w:val="00235B95"/>
    <w:rsid w:val="002378B3"/>
    <w:rsid w:val="002C6996"/>
    <w:rsid w:val="0030160C"/>
    <w:rsid w:val="00323B1D"/>
    <w:rsid w:val="00341DFF"/>
    <w:rsid w:val="0034778B"/>
    <w:rsid w:val="0039695D"/>
    <w:rsid w:val="003B4A65"/>
    <w:rsid w:val="00430B9F"/>
    <w:rsid w:val="00433CC7"/>
    <w:rsid w:val="00463EF9"/>
    <w:rsid w:val="004D524F"/>
    <w:rsid w:val="005173D6"/>
    <w:rsid w:val="005211DF"/>
    <w:rsid w:val="005619BE"/>
    <w:rsid w:val="0057254C"/>
    <w:rsid w:val="0059752A"/>
    <w:rsid w:val="0061604B"/>
    <w:rsid w:val="006678E1"/>
    <w:rsid w:val="007C1F6E"/>
    <w:rsid w:val="007D2145"/>
    <w:rsid w:val="00847331"/>
    <w:rsid w:val="00866DEE"/>
    <w:rsid w:val="008D4BF2"/>
    <w:rsid w:val="00940DB1"/>
    <w:rsid w:val="009956FE"/>
    <w:rsid w:val="00BA1085"/>
    <w:rsid w:val="00C84163"/>
    <w:rsid w:val="00CE7339"/>
    <w:rsid w:val="00D5256E"/>
    <w:rsid w:val="00E7159F"/>
    <w:rsid w:val="00E83A6A"/>
    <w:rsid w:val="00FD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69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695D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95D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0160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69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695D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95D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0160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ralucag</dc:creator>
  <cp:lastModifiedBy>radpp</cp:lastModifiedBy>
  <cp:revision>2</cp:revision>
  <cp:lastPrinted>2019-04-09T06:40:00Z</cp:lastPrinted>
  <dcterms:created xsi:type="dcterms:W3CDTF">2019-04-09T06:45:00Z</dcterms:created>
  <dcterms:modified xsi:type="dcterms:W3CDTF">2019-04-09T06:45:00Z</dcterms:modified>
</cp:coreProperties>
</file>