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 xml:space="preserve">Regia Autonoma Judeteana De drumuri. </w:t>
      </w:r>
    </w:p>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SEDIUL:</w:t>
      </w:r>
      <w:smartTag w:uri="urn:schemas-microsoft-com:office:smarttags" w:element="place">
        <w:smartTag w:uri="urn:schemas-microsoft-com:office:smarttags" w:element="City">
          <w:r w:rsidRPr="00714542">
            <w:rPr>
              <w:rFonts w:ascii="Times New Roman" w:eastAsia="Times New Roman" w:hAnsi="Times New Roman" w:cs="Times New Roman"/>
              <w:b/>
              <w:bCs/>
            </w:rPr>
            <w:t>Pitesti</w:t>
          </w:r>
        </w:smartTag>
      </w:smartTag>
      <w:r w:rsidRPr="00714542">
        <w:rPr>
          <w:rFonts w:ascii="Times New Roman" w:eastAsia="Times New Roman" w:hAnsi="Times New Roman" w:cs="Times New Roman"/>
          <w:b/>
          <w:bCs/>
        </w:rPr>
        <w:t>,Str.G.Cosbuc,nr.40</w:t>
      </w:r>
    </w:p>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C.U.I.RO:27648587</w:t>
      </w:r>
    </w:p>
    <w:p w:rsidR="00714542" w:rsidRPr="00714542" w:rsidRDefault="00714542" w:rsidP="00714542">
      <w:pPr>
        <w:spacing w:after="0" w:line="240" w:lineRule="auto"/>
        <w:rPr>
          <w:rFonts w:ascii="Times New Roman" w:eastAsia="Times New Roman" w:hAnsi="Times New Roman" w:cs="Times New Roman"/>
          <w:b/>
          <w:bCs/>
        </w:rPr>
      </w:pPr>
      <w:r w:rsidRPr="00714542">
        <w:rPr>
          <w:rFonts w:ascii="Times New Roman" w:eastAsia="Times New Roman" w:hAnsi="Times New Roman" w:cs="Times New Roman"/>
          <w:b/>
          <w:bCs/>
        </w:rPr>
        <w:t xml:space="preserve">O.R.C. J03/1091/29.10/2010 ARGES </w:t>
      </w:r>
    </w:p>
    <w:p w:rsidR="00714542" w:rsidRPr="00714542" w:rsidRDefault="00714542" w:rsidP="00714542">
      <w:pPr>
        <w:spacing w:after="0" w:line="240" w:lineRule="auto"/>
        <w:rPr>
          <w:rFonts w:ascii="Times New Roman" w:eastAsia="Times New Roman" w:hAnsi="Times New Roman" w:cs="Times New Roman"/>
          <w:b/>
          <w:bCs/>
        </w:rPr>
      </w:pPr>
    </w:p>
    <w:p w:rsidR="00714542" w:rsidRPr="00714542" w:rsidRDefault="00714542" w:rsidP="00714542">
      <w:pPr>
        <w:spacing w:after="0" w:line="240" w:lineRule="auto"/>
        <w:rPr>
          <w:rFonts w:ascii="Times New Roman" w:eastAsia="Times New Roman" w:hAnsi="Times New Roman" w:cs="Times New Roman"/>
          <w:b/>
          <w:bCs/>
        </w:rPr>
      </w:pPr>
    </w:p>
    <w:p w:rsidR="00714542" w:rsidRPr="00714542" w:rsidRDefault="00945318" w:rsidP="007145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Nota nr. 10 </w:t>
      </w:r>
    </w:p>
    <w:p w:rsidR="00714542" w:rsidRPr="00714542" w:rsidRDefault="00714542" w:rsidP="00714542">
      <w:pPr>
        <w:spacing w:after="0" w:line="240" w:lineRule="auto"/>
        <w:rPr>
          <w:rFonts w:ascii="Times New Roman" w:eastAsia="Times New Roman" w:hAnsi="Times New Roman" w:cs="Times New Roman"/>
          <w:sz w:val="24"/>
          <w:szCs w:val="24"/>
        </w:rPr>
      </w:pPr>
    </w:p>
    <w:p w:rsidR="00714542" w:rsidRPr="00945318" w:rsidRDefault="00714542" w:rsidP="00714542">
      <w:pPr>
        <w:jc w:val="center"/>
        <w:rPr>
          <w:b/>
          <w:sz w:val="28"/>
          <w:szCs w:val="28"/>
        </w:rPr>
      </w:pPr>
      <w:r w:rsidRPr="00945318">
        <w:rPr>
          <w:rFonts w:ascii="Times New Roman" w:eastAsia="Times New Roman" w:hAnsi="Times New Roman" w:cs="Times New Roman"/>
          <w:b/>
          <w:sz w:val="28"/>
          <w:szCs w:val="28"/>
        </w:rPr>
        <w:t>Alte informatii</w:t>
      </w:r>
    </w:p>
    <w:p w:rsidR="00714542" w:rsidRDefault="00714542" w:rsidP="00714542"/>
    <w:tbl>
      <w:tblPr>
        <w:tblStyle w:val="TableGrid"/>
        <w:tblW w:w="9895" w:type="dxa"/>
        <w:tblLook w:val="04A0"/>
      </w:tblPr>
      <w:tblGrid>
        <w:gridCol w:w="1075"/>
        <w:gridCol w:w="4410"/>
        <w:gridCol w:w="4410"/>
      </w:tblGrid>
      <w:tr w:rsidR="00714542" w:rsidTr="00D337C7">
        <w:tc>
          <w:tcPr>
            <w:tcW w:w="1075" w:type="dxa"/>
          </w:tcPr>
          <w:p w:rsidR="00714542" w:rsidRDefault="00714542" w:rsidP="00714542">
            <w:r>
              <w:t>Nr. crt</w:t>
            </w:r>
          </w:p>
        </w:tc>
        <w:tc>
          <w:tcPr>
            <w:tcW w:w="4410" w:type="dxa"/>
          </w:tcPr>
          <w:p w:rsidR="00714542" w:rsidRDefault="00714542" w:rsidP="00714542">
            <w:r>
              <w:t>Indicator</w:t>
            </w:r>
          </w:p>
        </w:tc>
        <w:tc>
          <w:tcPr>
            <w:tcW w:w="4410" w:type="dxa"/>
          </w:tcPr>
          <w:p w:rsidR="00714542" w:rsidRDefault="00714542" w:rsidP="00714542">
            <w:r>
              <w:t>Explicatie</w:t>
            </w:r>
          </w:p>
        </w:tc>
      </w:tr>
      <w:tr w:rsidR="00714542" w:rsidTr="00D337C7">
        <w:tc>
          <w:tcPr>
            <w:tcW w:w="1075" w:type="dxa"/>
          </w:tcPr>
          <w:p w:rsidR="00714542" w:rsidRDefault="00D337C7" w:rsidP="00714542">
            <w:r>
              <w:t>a.</w:t>
            </w:r>
          </w:p>
        </w:tc>
        <w:tc>
          <w:tcPr>
            <w:tcW w:w="4410" w:type="dxa"/>
          </w:tcPr>
          <w:p w:rsidR="00714542" w:rsidRPr="002225D4" w:rsidRDefault="00D337C7" w:rsidP="00714542">
            <w:pPr>
              <w:rPr>
                <w:b/>
              </w:rPr>
            </w:pPr>
            <w:r w:rsidRPr="002225D4">
              <w:rPr>
                <w:b/>
              </w:rPr>
              <w:t>Informatii cu privire la prezentarea persoanei juridice</w:t>
            </w:r>
          </w:p>
        </w:tc>
        <w:tc>
          <w:tcPr>
            <w:tcW w:w="4410" w:type="dxa"/>
          </w:tcPr>
          <w:p w:rsidR="00D337C7" w:rsidRPr="00E10DD7" w:rsidRDefault="00D337C7" w:rsidP="00D337C7">
            <w:pPr>
              <w:rPr>
                <w:bCs/>
              </w:rPr>
            </w:pPr>
            <w:r w:rsidRPr="00E10DD7">
              <w:rPr>
                <w:bCs/>
              </w:rPr>
              <w:t>Regia Autonoma Judeteana De Drumuri Arges RA</w:t>
            </w:r>
            <w:r>
              <w:rPr>
                <w:bCs/>
              </w:rPr>
              <w:t>,este persoana juridica romana d</w:t>
            </w:r>
            <w:r w:rsidRPr="00E10DD7">
              <w:rPr>
                <w:bCs/>
              </w:rPr>
              <w:t>e interes judetean care se organizeaza si functioneaza sub autoritatea Consiliului Judetean Arges  pa baza de gestiune economica si autonomie financiara conform Legii nr.15/1990,</w:t>
            </w:r>
            <w:r>
              <w:rPr>
                <w:bCs/>
              </w:rPr>
              <w:t>privind reorganizarea unitatilor economice de stat ca regii autonome sau societati comerciale .</w:t>
            </w:r>
          </w:p>
          <w:p w:rsidR="00D337C7" w:rsidRPr="00E10DD7" w:rsidRDefault="00D337C7" w:rsidP="00D337C7">
            <w:pPr>
              <w:rPr>
                <w:bCs/>
              </w:rPr>
            </w:pPr>
            <w:r w:rsidRPr="00E10DD7">
              <w:rPr>
                <w:bCs/>
              </w:rPr>
              <w:t>Regia Autonoma Judeteana De Drumuri Arges RA</w:t>
            </w:r>
            <w:r>
              <w:rPr>
                <w:bCs/>
              </w:rPr>
              <w:t xml:space="preserve"> a fost </w:t>
            </w:r>
            <w:r w:rsidRPr="00E10DD7">
              <w:rPr>
                <w:bCs/>
              </w:rPr>
              <w:t>infiintata in baza Hot</w:t>
            </w:r>
            <w:r>
              <w:rPr>
                <w:bCs/>
              </w:rPr>
              <w:t xml:space="preserve">ararii </w:t>
            </w:r>
            <w:r w:rsidRPr="00E10DD7">
              <w:rPr>
                <w:bCs/>
              </w:rPr>
              <w:t>.C.J.Arges nr.158/</w:t>
            </w:r>
            <w:r>
              <w:rPr>
                <w:bCs/>
              </w:rPr>
              <w:t xml:space="preserve">25.08.2010,cu sediul in Pitesti, </w:t>
            </w:r>
            <w:r w:rsidRPr="00E10DD7">
              <w:rPr>
                <w:bCs/>
              </w:rPr>
              <w:t>Str.G.Cosbuc,</w:t>
            </w:r>
            <w:r>
              <w:rPr>
                <w:bCs/>
              </w:rPr>
              <w:t xml:space="preserve"> </w:t>
            </w:r>
            <w:r w:rsidRPr="00E10DD7">
              <w:rPr>
                <w:bCs/>
              </w:rPr>
              <w:t>nr.40</w:t>
            </w:r>
          </w:p>
          <w:p w:rsidR="00D337C7" w:rsidRPr="00E10DD7" w:rsidRDefault="00D337C7" w:rsidP="00D337C7">
            <w:pPr>
              <w:rPr>
                <w:bCs/>
              </w:rPr>
            </w:pPr>
            <w:r w:rsidRPr="00E10DD7">
              <w:rPr>
                <w:bCs/>
              </w:rPr>
              <w:t xml:space="preserve">si inregistrata la O.R.C. J03/1091/29.10.2010 ARGES </w:t>
            </w:r>
            <w:r>
              <w:rPr>
                <w:bCs/>
              </w:rPr>
              <w:t xml:space="preserve">avand  C.U.I. RO </w:t>
            </w:r>
            <w:r w:rsidRPr="00E10DD7">
              <w:rPr>
                <w:bCs/>
              </w:rPr>
              <w:t>27648587</w:t>
            </w:r>
          </w:p>
          <w:p w:rsidR="00D337C7" w:rsidRPr="00B061EF" w:rsidRDefault="00D337C7" w:rsidP="00D337C7">
            <w:pPr>
              <w:rPr>
                <w:b/>
                <w:bCs/>
              </w:rPr>
            </w:pPr>
            <w:r w:rsidRPr="00B061EF">
              <w:rPr>
                <w:b/>
                <w:bCs/>
              </w:rPr>
              <w:t xml:space="preserve">Patrimoniul Regiei  Autonome Judetene De Drumuri Arges RA la data de 31.12.2015 este de 4.908.7610 lei; </w:t>
            </w:r>
          </w:p>
          <w:p w:rsidR="00D337C7" w:rsidRPr="002E52DD" w:rsidRDefault="00D337C7" w:rsidP="00D337C7">
            <w:pPr>
              <w:jc w:val="both"/>
              <w:rPr>
                <w:b/>
                <w:bCs/>
              </w:rPr>
            </w:pPr>
            <w:r w:rsidRPr="0064504E">
              <w:t>De la infiintare si pana la data de 31.07.2014,</w:t>
            </w:r>
            <w:r>
              <w:t xml:space="preserve"> </w:t>
            </w:r>
            <w:r w:rsidRPr="0064504E">
              <w:t>conducerea deliberativa a fost asigurata de un Consiliu de administratie numit prin Hotararea Consiliului Judetean Arges nr.174/20.09.2010. Incepand cu data de 01.08.2014 Consiliul Judetean Arges,in aplicarea dispozitiilor O.U.G nr.109/2011 privind guvernanta corporativa a intreprinderilor  si in exercitarea atributiilor ce ii revin ,potrivit art.10 si 91  alin.(1) si ali. (2) lit.d) din Legea nr.215/2001 a</w:t>
            </w:r>
            <w:r>
              <w:t xml:space="preserve"> administratiei publice locale,</w:t>
            </w:r>
            <w:r w:rsidRPr="0064504E">
              <w:t xml:space="preserve"> a numit  prin Hotararea nr.138/25.07.2014,un nou Consiliu de Administratie,  cu membrii caruia a incheiat contracte de mandat  pentru o perioada de 4 ani .</w:t>
            </w:r>
            <w:r>
              <w:t xml:space="preserve"> Conducerea executiva a RAJD Arges este delegata catre Comitetul de directori conform Hotararii Consiliului Judetean Arges nr. 113/28.05.2015, competenta de reprezentare a RAJD Arges revenind Directorului General.</w:t>
            </w:r>
          </w:p>
          <w:p w:rsidR="00714542" w:rsidRDefault="00D337C7" w:rsidP="00D337C7">
            <w:r>
              <w:rPr>
                <w:lang w:val="en-GB"/>
              </w:rPr>
              <w:lastRenderedPageBreak/>
              <w:t>Regia Autonoma Judeteana de Drumuri Arges RA deruleaza activitati privind administrarea infrastructurii rutiere judetene si a patrimoniului aferent acestora aplicand normativele si prescriptiile tehnice de operare si intretinere in vigoare.</w:t>
            </w:r>
          </w:p>
        </w:tc>
      </w:tr>
      <w:tr w:rsidR="00714542" w:rsidTr="00D337C7">
        <w:tc>
          <w:tcPr>
            <w:tcW w:w="1075" w:type="dxa"/>
          </w:tcPr>
          <w:p w:rsidR="00714542" w:rsidRDefault="00D337C7" w:rsidP="00714542">
            <w:r>
              <w:lastRenderedPageBreak/>
              <w:t>b.</w:t>
            </w:r>
          </w:p>
        </w:tc>
        <w:tc>
          <w:tcPr>
            <w:tcW w:w="4410" w:type="dxa"/>
          </w:tcPr>
          <w:p w:rsidR="00714542" w:rsidRPr="002225D4" w:rsidRDefault="00D337C7" w:rsidP="00714542">
            <w:pPr>
              <w:rPr>
                <w:b/>
              </w:rPr>
            </w:pPr>
            <w:r w:rsidRPr="002225D4">
              <w:rPr>
                <w:b/>
              </w:rPr>
              <w:t>Informatii privind conturile  in afara bilantului</w:t>
            </w:r>
          </w:p>
        </w:tc>
        <w:tc>
          <w:tcPr>
            <w:tcW w:w="4410" w:type="dxa"/>
          </w:tcPr>
          <w:p w:rsidR="00106340" w:rsidRDefault="00106340" w:rsidP="00106340">
            <w:r>
              <w:t>Contul=8038 “Bunuri primite in administrare  de la autoritatea publica tutelara “-  terenuri si cladiri,  in valoare de 4.432.226.81 lei;</w:t>
            </w:r>
          </w:p>
          <w:p w:rsidR="00106340" w:rsidRDefault="00106340" w:rsidP="00106340">
            <w:r>
              <w:t>Contul 8039.0 Alte valori in afara bilantului” –obiecte de inventar in consum  in valoare de 41.564.76 lei;</w:t>
            </w:r>
          </w:p>
          <w:p w:rsidR="00106340" w:rsidRDefault="00106340" w:rsidP="00106340">
            <w:r>
              <w:t>Contul 8039.1”Documentatii tehnico-economice” in valoare de 2.739.273.38 lei (cu acest cont se tine evidenta proiectelor si documentatiilor tehnice aferente lucrarilor executate sau in curs de executie)</w:t>
            </w:r>
          </w:p>
          <w:p w:rsidR="00714542" w:rsidRDefault="00106340" w:rsidP="00106340">
            <w:r>
              <w:t>-Contul  8050”Garantii buna executie”in valoare de  636.241,32 ei( soldul contului reprezinta valoarea garantiilor constituite de catre furnizori si care nu au fost eliberate )</w:t>
            </w:r>
          </w:p>
        </w:tc>
      </w:tr>
      <w:tr w:rsidR="00714542" w:rsidTr="00106340">
        <w:trPr>
          <w:trHeight w:val="1183"/>
        </w:trPr>
        <w:tc>
          <w:tcPr>
            <w:tcW w:w="1075" w:type="dxa"/>
          </w:tcPr>
          <w:p w:rsidR="00714542" w:rsidRDefault="00106340" w:rsidP="00714542">
            <w:r>
              <w:t>c</w:t>
            </w:r>
          </w:p>
        </w:tc>
        <w:tc>
          <w:tcPr>
            <w:tcW w:w="4410" w:type="dxa"/>
          </w:tcPr>
          <w:p w:rsidR="00714542" w:rsidRPr="002225D4" w:rsidRDefault="00106340" w:rsidP="00714542">
            <w:pPr>
              <w:rPr>
                <w:b/>
              </w:rPr>
            </w:pPr>
            <w:r w:rsidRPr="002225D4">
              <w:rPr>
                <w:b/>
              </w:rPr>
              <w:t>Informatii privind contul 4754 ,,Plusuri de inventar de natura imobilizarilor corporale “-constructii-</w:t>
            </w:r>
          </w:p>
        </w:tc>
        <w:tc>
          <w:tcPr>
            <w:tcW w:w="4410" w:type="dxa"/>
          </w:tcPr>
          <w:p w:rsidR="00714542" w:rsidRDefault="00106340" w:rsidP="00714542">
            <w:r>
              <w:t>Soldul contului in valoare de 17.021 lei ,reprezinta  valoarea ramasa de amortizat  aferenta  imobilizarilor corporale constate plus la inventar</w:t>
            </w:r>
          </w:p>
        </w:tc>
      </w:tr>
      <w:tr w:rsidR="005E5D56" w:rsidTr="00D337C7">
        <w:tc>
          <w:tcPr>
            <w:tcW w:w="1075" w:type="dxa"/>
            <w:vMerge w:val="restart"/>
          </w:tcPr>
          <w:p w:rsidR="005E5D56" w:rsidRDefault="005E5D56" w:rsidP="00714542">
            <w:r>
              <w:t>d.</w:t>
            </w:r>
          </w:p>
        </w:tc>
        <w:tc>
          <w:tcPr>
            <w:tcW w:w="4410" w:type="dxa"/>
          </w:tcPr>
          <w:p w:rsidR="005E5D56" w:rsidRPr="002225D4" w:rsidRDefault="005E5D56" w:rsidP="00714542">
            <w:pPr>
              <w:rPr>
                <w:b/>
              </w:rPr>
            </w:pPr>
            <w:r w:rsidRPr="002225D4">
              <w:rPr>
                <w:b/>
              </w:rPr>
              <w:t>Informatii referitoare la impozitul pe profit:</w:t>
            </w:r>
          </w:p>
        </w:tc>
        <w:tc>
          <w:tcPr>
            <w:tcW w:w="4410" w:type="dxa"/>
          </w:tcPr>
          <w:p w:rsidR="005E5D56" w:rsidRDefault="005E5D56" w:rsidP="00714542"/>
        </w:tc>
      </w:tr>
      <w:tr w:rsidR="005E5D56" w:rsidTr="00D337C7">
        <w:tc>
          <w:tcPr>
            <w:tcW w:w="1075" w:type="dxa"/>
            <w:vMerge/>
          </w:tcPr>
          <w:p w:rsidR="005E5D56" w:rsidRDefault="005E5D56" w:rsidP="00714542"/>
        </w:tc>
        <w:tc>
          <w:tcPr>
            <w:tcW w:w="4410" w:type="dxa"/>
          </w:tcPr>
          <w:p w:rsidR="005E5D56" w:rsidRPr="002225D4" w:rsidRDefault="005E5D56" w:rsidP="00106340">
            <w:pPr>
              <w:pStyle w:val="ListParagraph"/>
              <w:numPr>
                <w:ilvl w:val="0"/>
                <w:numId w:val="3"/>
              </w:numPr>
              <w:rPr>
                <w:b/>
              </w:rPr>
            </w:pPr>
            <w:r w:rsidRPr="002225D4">
              <w:rPr>
                <w:b/>
              </w:rPr>
              <w:t>Proportia dintre activitatea curenta si extraordinara</w:t>
            </w:r>
          </w:p>
        </w:tc>
        <w:tc>
          <w:tcPr>
            <w:tcW w:w="4410" w:type="dxa"/>
          </w:tcPr>
          <w:p w:rsidR="005E5D56" w:rsidRDefault="005E5D56" w:rsidP="00714542">
            <w:r>
              <w:t>Activitatea curenta detine 100% din activitatea totala</w:t>
            </w:r>
          </w:p>
        </w:tc>
      </w:tr>
      <w:tr w:rsidR="005E5D56" w:rsidTr="00D337C7">
        <w:trPr>
          <w:trHeight w:val="121"/>
        </w:trPr>
        <w:tc>
          <w:tcPr>
            <w:tcW w:w="1075" w:type="dxa"/>
            <w:vMerge/>
          </w:tcPr>
          <w:p w:rsidR="005E5D56" w:rsidRDefault="005E5D56" w:rsidP="00714542"/>
        </w:tc>
        <w:tc>
          <w:tcPr>
            <w:tcW w:w="4410" w:type="dxa"/>
          </w:tcPr>
          <w:p w:rsidR="005E5D56" w:rsidRPr="002225D4" w:rsidRDefault="005E5D56" w:rsidP="00106340">
            <w:pPr>
              <w:pStyle w:val="ListParagraph"/>
              <w:numPr>
                <w:ilvl w:val="0"/>
                <w:numId w:val="2"/>
              </w:numPr>
              <w:rPr>
                <w:b/>
              </w:rPr>
            </w:pPr>
            <w:r w:rsidRPr="002225D4">
              <w:rPr>
                <w:b/>
              </w:rPr>
              <w:t>Reconcilierea dintre rezultatul exercitiului si rezultatul fiscal, asa cum este prezentat in declaratia de impozit pe profit</w:t>
            </w:r>
          </w:p>
        </w:tc>
        <w:tc>
          <w:tcPr>
            <w:tcW w:w="4410" w:type="dxa"/>
          </w:tcPr>
          <w:p w:rsidR="005E5D56" w:rsidRDefault="005E5D56" w:rsidP="00714542">
            <w:r>
              <w:t>Nu e cazul</w:t>
            </w:r>
          </w:p>
        </w:tc>
      </w:tr>
      <w:tr w:rsidR="005E5D56" w:rsidTr="005E5D56">
        <w:tc>
          <w:tcPr>
            <w:tcW w:w="1075" w:type="dxa"/>
            <w:vMerge/>
          </w:tcPr>
          <w:p w:rsidR="005E5D56" w:rsidRDefault="005E5D56" w:rsidP="00714542"/>
        </w:tc>
        <w:tc>
          <w:tcPr>
            <w:tcW w:w="4410" w:type="dxa"/>
            <w:tcBorders>
              <w:bottom w:val="single" w:sz="4" w:space="0" w:color="auto"/>
            </w:tcBorders>
          </w:tcPr>
          <w:p w:rsidR="005E5D56" w:rsidRPr="002225D4" w:rsidRDefault="005E5D56" w:rsidP="00106340">
            <w:pPr>
              <w:pStyle w:val="ListParagraph"/>
              <w:numPr>
                <w:ilvl w:val="0"/>
                <w:numId w:val="2"/>
              </w:numPr>
              <w:rPr>
                <w:b/>
              </w:rPr>
            </w:pPr>
            <w:r w:rsidRPr="002225D4">
              <w:rPr>
                <w:b/>
                <w:color w:val="000000"/>
              </w:rPr>
              <w:t>Măsura în care calcularea profitului sau pierderii exerciţiului financiar a fost afectată de o evaluare a elementelor care, prin derogare de la principiile contabile generale şi regulile contabile de evaluare, a fost efectuată în exerciţiul financiar curent sau într-un exerciţiu financiar precedent în vederea obţinerii de facilităţi fiscale</w:t>
            </w:r>
          </w:p>
        </w:tc>
        <w:tc>
          <w:tcPr>
            <w:tcW w:w="4410" w:type="dxa"/>
          </w:tcPr>
          <w:p w:rsidR="005E5D56" w:rsidRDefault="005E5D56" w:rsidP="00714542">
            <w:r>
              <w:t>Nu e cazul</w:t>
            </w:r>
          </w:p>
        </w:tc>
      </w:tr>
      <w:tr w:rsidR="005E5D56" w:rsidTr="005B3488">
        <w:tc>
          <w:tcPr>
            <w:tcW w:w="1075" w:type="dxa"/>
            <w:vMerge/>
          </w:tcPr>
          <w:p w:rsidR="005E5D56" w:rsidRDefault="005E5D56" w:rsidP="00714542"/>
        </w:tc>
        <w:tc>
          <w:tcPr>
            <w:tcW w:w="4410" w:type="dxa"/>
            <w:tcBorders>
              <w:bottom w:val="single" w:sz="4" w:space="0" w:color="auto"/>
            </w:tcBorders>
            <w:shd w:val="clear" w:color="auto" w:fill="auto"/>
          </w:tcPr>
          <w:p w:rsidR="005E5D56" w:rsidRPr="002225D4" w:rsidRDefault="005E5D56" w:rsidP="00714542">
            <w:pPr>
              <w:rPr>
                <w:b/>
              </w:rPr>
            </w:pPr>
            <w:r w:rsidRPr="002225D4">
              <w:rPr>
                <w:rFonts w:ascii="Arial" w:hAnsi="Arial" w:cs="Arial"/>
                <w:b/>
                <w:color w:val="000000"/>
              </w:rPr>
              <w:t>Impozitul pe profit rămas de plată</w:t>
            </w:r>
          </w:p>
        </w:tc>
        <w:tc>
          <w:tcPr>
            <w:tcW w:w="4410" w:type="dxa"/>
          </w:tcPr>
          <w:p w:rsidR="005E5D56" w:rsidRDefault="005E5D56" w:rsidP="00714542">
            <w:r>
              <w:t>Nu e cazul</w:t>
            </w:r>
          </w:p>
        </w:tc>
      </w:tr>
      <w:tr w:rsidR="00714542" w:rsidTr="005B3488">
        <w:tc>
          <w:tcPr>
            <w:tcW w:w="1075" w:type="dxa"/>
          </w:tcPr>
          <w:p w:rsidR="00714542" w:rsidRDefault="00A7721D" w:rsidP="00714542">
            <w:r>
              <w:t>e.</w:t>
            </w:r>
          </w:p>
        </w:tc>
        <w:tc>
          <w:tcPr>
            <w:tcW w:w="4410" w:type="dxa"/>
            <w:tcBorders>
              <w:top w:val="single" w:sz="4" w:space="0" w:color="auto"/>
            </w:tcBorders>
          </w:tcPr>
          <w:p w:rsidR="00714542" w:rsidRPr="002225D4" w:rsidRDefault="00A7721D" w:rsidP="00714542">
            <w:pPr>
              <w:rPr>
                <w:b/>
              </w:rPr>
            </w:pPr>
            <w:r w:rsidRPr="002225D4">
              <w:rPr>
                <w:b/>
              </w:rPr>
              <w:t>Cifra de afaceri:</w:t>
            </w:r>
          </w:p>
        </w:tc>
        <w:tc>
          <w:tcPr>
            <w:tcW w:w="4410" w:type="dxa"/>
          </w:tcPr>
          <w:p w:rsidR="00714542" w:rsidRDefault="00A7721D" w:rsidP="00714542">
            <w:r>
              <w:t>14.355.398  lei</w:t>
            </w:r>
          </w:p>
        </w:tc>
      </w:tr>
      <w:tr w:rsidR="00714542" w:rsidTr="00D337C7">
        <w:tc>
          <w:tcPr>
            <w:tcW w:w="1075" w:type="dxa"/>
          </w:tcPr>
          <w:p w:rsidR="00714542" w:rsidRDefault="00714542" w:rsidP="00714542"/>
        </w:tc>
        <w:tc>
          <w:tcPr>
            <w:tcW w:w="4410" w:type="dxa"/>
          </w:tcPr>
          <w:p w:rsidR="00714542" w:rsidRPr="002225D4" w:rsidRDefault="00A7721D" w:rsidP="00714542">
            <w:pPr>
              <w:rPr>
                <w:b/>
              </w:rPr>
            </w:pPr>
            <w:r w:rsidRPr="002225D4">
              <w:rPr>
                <w:b/>
              </w:rPr>
              <w:t>- prezentarea acesteia pe sectoare economice si tipuri de piete de desfacere</w:t>
            </w:r>
          </w:p>
        </w:tc>
        <w:tc>
          <w:tcPr>
            <w:tcW w:w="4410" w:type="dxa"/>
          </w:tcPr>
          <w:p w:rsidR="00A7721D" w:rsidRDefault="00A7721D" w:rsidP="00A7721D">
            <w:r>
              <w:t>Activitatea principala conform actului consitutiv este cod CAEN 4211,, Lucrari de constructii a drumurilor si autostrazilor,,</w:t>
            </w:r>
          </w:p>
          <w:p w:rsidR="00A7721D" w:rsidRDefault="00A7721D" w:rsidP="00A7721D">
            <w:r>
              <w:lastRenderedPageBreak/>
              <w:t>Activitatea se desfasoara in:urmatoarele puncte de lucru:</w:t>
            </w:r>
          </w:p>
          <w:p w:rsidR="00A7721D" w:rsidRDefault="00A7721D" w:rsidP="00A7721D">
            <w:r>
              <w:t xml:space="preserve">-Punct de lucru ,sediul in      - </w:t>
            </w:r>
            <w:smartTag w:uri="urn:schemas-microsoft-com:office:smarttags" w:element="City">
              <w:smartTag w:uri="urn:schemas-microsoft-com:office:smarttags" w:element="place">
                <w:r>
                  <w:t>Pitesti</w:t>
                </w:r>
              </w:smartTag>
            </w:smartTag>
            <w:r>
              <w:t>,str.G.Cosbuc,nr.40</w:t>
            </w:r>
          </w:p>
          <w:p w:rsidR="00A7721D" w:rsidRDefault="00A7721D" w:rsidP="00A7721D">
            <w:r>
              <w:t>-Punct de lucru ,cu sediul in Harsesti;punctul sediu Harsesti;</w:t>
            </w:r>
          </w:p>
          <w:p w:rsidR="00A7721D" w:rsidRDefault="00A7721D" w:rsidP="00A7721D">
            <w:r>
              <w:t>-Punct de lucru,cu sediul in Cepari,punctul sediul Cepari;</w:t>
            </w:r>
          </w:p>
          <w:p w:rsidR="00A7721D" w:rsidRDefault="00A7721D" w:rsidP="00A7721D">
            <w:r>
              <w:t>-Punctul de lucru cu sediul in Titesti,punctul balastiera Bajesti;</w:t>
            </w:r>
          </w:p>
          <w:p w:rsidR="00A7721D" w:rsidRDefault="00A7721D" w:rsidP="00A7721D">
            <w:r>
              <w:t xml:space="preserve">-Punctul de lucru cu sediul in Cateasca punctul sediul Cateasca ; </w:t>
            </w:r>
          </w:p>
          <w:p w:rsidR="00714542" w:rsidRDefault="00A7721D" w:rsidP="00A7721D">
            <w:r>
              <w:t xml:space="preserve">  -Punctul de lucru cu sediul in Buzoiesti ;</w:t>
            </w:r>
          </w:p>
        </w:tc>
      </w:tr>
      <w:tr w:rsidR="00714542" w:rsidTr="00D337C7">
        <w:tc>
          <w:tcPr>
            <w:tcW w:w="1075" w:type="dxa"/>
          </w:tcPr>
          <w:p w:rsidR="00714542" w:rsidRDefault="00A7721D" w:rsidP="00714542">
            <w:r w:rsidRPr="00932105">
              <w:lastRenderedPageBreak/>
              <w:t>f.</w:t>
            </w:r>
          </w:p>
        </w:tc>
        <w:tc>
          <w:tcPr>
            <w:tcW w:w="4410" w:type="dxa"/>
          </w:tcPr>
          <w:p w:rsidR="00A7721D" w:rsidRPr="002225D4" w:rsidRDefault="00A7721D" w:rsidP="00A7721D">
            <w:pPr>
              <w:jc w:val="both"/>
              <w:rPr>
                <w:b/>
                <w:color w:val="000000"/>
              </w:rPr>
            </w:pPr>
            <w:r w:rsidRPr="002225D4">
              <w:rPr>
                <w:b/>
                <w:color w:val="000000"/>
              </w:rPr>
              <w:t>Atunci când evenimentele ulterioare datei bilanţului au o asemenea importanţă încât neprezentarea lor ar putea afecta capacitatea utilizatorilor situaţiilor financiare de a face evaluări şi de a lua decizii corecte, o entitate trebuie să prezinte următoarele informaţii pentru fiecare categorie semnificativă de astfel de evenimente:</w:t>
            </w:r>
          </w:p>
          <w:p w:rsidR="00A7721D" w:rsidRPr="002225D4" w:rsidRDefault="00A7721D" w:rsidP="00A7721D">
            <w:pPr>
              <w:jc w:val="both"/>
              <w:rPr>
                <w:b/>
                <w:color w:val="000000"/>
              </w:rPr>
            </w:pPr>
            <w:bookmarkStart w:id="0" w:name="tree#1922"/>
            <w:r w:rsidRPr="002225D4">
              <w:rPr>
                <w:b/>
                <w:color w:val="000000"/>
              </w:rPr>
              <w:tab/>
              <w:t>- natura evenimentului</w:t>
            </w:r>
          </w:p>
          <w:p w:rsidR="00A7721D" w:rsidRPr="002225D4" w:rsidRDefault="00A7721D" w:rsidP="00A7721D">
            <w:pPr>
              <w:jc w:val="both"/>
              <w:rPr>
                <w:b/>
                <w:color w:val="000000"/>
              </w:rPr>
            </w:pPr>
            <w:r w:rsidRPr="002225D4">
              <w:rPr>
                <w:rStyle w:val="linie1"/>
              </w:rPr>
              <w:t>   </w:t>
            </w:r>
            <w:r w:rsidRPr="002225D4">
              <w:rPr>
                <w:rStyle w:val="linie1"/>
              </w:rPr>
              <w:tab/>
              <w:t>-</w:t>
            </w:r>
            <w:r w:rsidRPr="002225D4">
              <w:rPr>
                <w:b/>
                <w:color w:val="000000"/>
              </w:rPr>
              <w:t xml:space="preserve"> o estimare a efectului financiar sau o menţiune conform căreia o astfel de estimare nu poate să fie făcută</w:t>
            </w:r>
          </w:p>
          <w:bookmarkEnd w:id="0"/>
          <w:p w:rsidR="00714542" w:rsidRPr="002225D4" w:rsidRDefault="00714542" w:rsidP="00714542">
            <w:pPr>
              <w:rPr>
                <w:b/>
              </w:rPr>
            </w:pPr>
          </w:p>
        </w:tc>
        <w:tc>
          <w:tcPr>
            <w:tcW w:w="4410" w:type="dxa"/>
          </w:tcPr>
          <w:p w:rsidR="00714542" w:rsidRDefault="00A7721D" w:rsidP="00714542">
            <w:r>
              <w:t>Nu e cazul</w:t>
            </w:r>
          </w:p>
        </w:tc>
      </w:tr>
      <w:tr w:rsidR="00714542" w:rsidTr="00D337C7">
        <w:tc>
          <w:tcPr>
            <w:tcW w:w="1075" w:type="dxa"/>
          </w:tcPr>
          <w:p w:rsidR="00714542" w:rsidRDefault="00A7721D" w:rsidP="00714542">
            <w:r>
              <w:t>g.</w:t>
            </w:r>
          </w:p>
        </w:tc>
        <w:tc>
          <w:tcPr>
            <w:tcW w:w="4410" w:type="dxa"/>
          </w:tcPr>
          <w:p w:rsidR="00A7721D" w:rsidRPr="002225D4" w:rsidRDefault="00A7721D" w:rsidP="00A7721D">
            <w:pPr>
              <w:jc w:val="both"/>
              <w:rPr>
                <w:b/>
                <w:color w:val="000000"/>
              </w:rPr>
            </w:pPr>
            <w:r w:rsidRPr="002225D4">
              <w:rPr>
                <w:b/>
                <w:color w:val="000000"/>
              </w:rPr>
              <w:t>Explicaţii despre valoarea şi natura:</w:t>
            </w:r>
          </w:p>
          <w:p w:rsidR="00A7721D" w:rsidRPr="002225D4" w:rsidRDefault="00A7721D" w:rsidP="00A7721D">
            <w:pPr>
              <w:jc w:val="both"/>
              <w:rPr>
                <w:b/>
                <w:color w:val="000000"/>
              </w:rPr>
            </w:pPr>
          </w:p>
          <w:p w:rsidR="00A7721D" w:rsidRPr="002225D4" w:rsidRDefault="00A7721D" w:rsidP="00A7721D">
            <w:pPr>
              <w:rPr>
                <w:b/>
                <w:color w:val="000000"/>
              </w:rPr>
            </w:pPr>
            <w:bookmarkStart w:id="1" w:name="tree#1925"/>
            <w:r w:rsidRPr="002225D4">
              <w:rPr>
                <w:rStyle w:val="linie1"/>
              </w:rPr>
              <w:t>   -</w:t>
            </w:r>
            <w:r w:rsidRPr="002225D4">
              <w:rPr>
                <w:b/>
                <w:color w:val="000000"/>
              </w:rPr>
              <w:t xml:space="preserve"> veniturilor şi cheltuielilor extraordinare</w:t>
            </w:r>
          </w:p>
          <w:p w:rsidR="00A7721D" w:rsidRPr="002225D4" w:rsidRDefault="00A7721D" w:rsidP="00A7721D">
            <w:pPr>
              <w:rPr>
                <w:b/>
                <w:color w:val="000000"/>
              </w:rPr>
            </w:pPr>
          </w:p>
          <w:p w:rsidR="00A7721D" w:rsidRPr="002225D4" w:rsidRDefault="00A7721D" w:rsidP="00A7721D">
            <w:pPr>
              <w:rPr>
                <w:b/>
                <w:color w:val="000000"/>
              </w:rPr>
            </w:pPr>
            <w:r w:rsidRPr="002225D4">
              <w:rPr>
                <w:rStyle w:val="linie1"/>
              </w:rPr>
              <w:t>   -</w:t>
            </w:r>
            <w:r w:rsidRPr="002225D4">
              <w:rPr>
                <w:b/>
                <w:color w:val="000000"/>
              </w:rPr>
              <w:t xml:space="preserve"> veniturilor şi cheltuielilor înregistrate în avans, </w:t>
            </w:r>
          </w:p>
          <w:bookmarkEnd w:id="1"/>
          <w:p w:rsidR="00714542" w:rsidRPr="002225D4" w:rsidRDefault="00714542" w:rsidP="00714542">
            <w:pPr>
              <w:rPr>
                <w:b/>
              </w:rPr>
            </w:pPr>
          </w:p>
        </w:tc>
        <w:tc>
          <w:tcPr>
            <w:tcW w:w="4410" w:type="dxa"/>
          </w:tcPr>
          <w:p w:rsidR="00A7721D" w:rsidRDefault="00A7721D" w:rsidP="00A7721D">
            <w:r>
              <w:t>-Nu e cazul</w:t>
            </w:r>
          </w:p>
          <w:p w:rsidR="00A7721D" w:rsidRDefault="00A7721D" w:rsidP="00A7721D"/>
          <w:p w:rsidR="00714542" w:rsidRDefault="00A7721D" w:rsidP="00A7721D">
            <w:r>
              <w:t>- Cheltuielile inregistrate in avans in valoare de 41.167 lei ,reprezinta c/val rovignete auto si asigurari auto)</w:t>
            </w:r>
          </w:p>
        </w:tc>
      </w:tr>
      <w:tr w:rsidR="002907A6" w:rsidTr="00D337C7">
        <w:tc>
          <w:tcPr>
            <w:tcW w:w="1075" w:type="dxa"/>
            <w:vMerge w:val="restart"/>
          </w:tcPr>
          <w:p w:rsidR="002907A6" w:rsidRDefault="002907A6" w:rsidP="00714542">
            <w:r>
              <w:t>h.</w:t>
            </w:r>
          </w:p>
        </w:tc>
        <w:tc>
          <w:tcPr>
            <w:tcW w:w="4410" w:type="dxa"/>
          </w:tcPr>
          <w:p w:rsidR="002907A6" w:rsidRPr="002225D4" w:rsidRDefault="002907A6" w:rsidP="00714542">
            <w:pPr>
              <w:rPr>
                <w:b/>
              </w:rPr>
            </w:pPr>
            <w:r w:rsidRPr="002225D4">
              <w:rPr>
                <w:b/>
                <w:color w:val="000000"/>
              </w:rPr>
              <w:t>Ratele achitate în cadrul unui contract de leasing</w:t>
            </w:r>
          </w:p>
        </w:tc>
        <w:tc>
          <w:tcPr>
            <w:tcW w:w="4410" w:type="dxa"/>
          </w:tcPr>
          <w:p w:rsidR="002907A6" w:rsidRDefault="002907A6" w:rsidP="00714542">
            <w:r>
              <w:t>Nu e cazul</w:t>
            </w:r>
          </w:p>
        </w:tc>
      </w:tr>
      <w:tr w:rsidR="002907A6" w:rsidTr="00D337C7">
        <w:tc>
          <w:tcPr>
            <w:tcW w:w="1075" w:type="dxa"/>
            <w:vMerge/>
          </w:tcPr>
          <w:p w:rsidR="002907A6" w:rsidRDefault="002907A6" w:rsidP="00714542"/>
        </w:tc>
        <w:tc>
          <w:tcPr>
            <w:tcW w:w="4410" w:type="dxa"/>
          </w:tcPr>
          <w:p w:rsidR="002907A6" w:rsidRPr="002225D4" w:rsidRDefault="002907A6" w:rsidP="00A7721D">
            <w:pPr>
              <w:rPr>
                <w:b/>
                <w:color w:val="000000"/>
              </w:rPr>
            </w:pPr>
            <w:r w:rsidRPr="002225D4">
              <w:rPr>
                <w:b/>
                <w:color w:val="000000"/>
              </w:rPr>
              <w:t>A. În cazul unui leasing financiar, locatorul va prezenta următoarele informaţii:</w:t>
            </w:r>
          </w:p>
          <w:p w:rsidR="002907A6" w:rsidRPr="002225D4" w:rsidRDefault="002907A6" w:rsidP="00A7721D">
            <w:pPr>
              <w:rPr>
                <w:b/>
                <w:color w:val="000000"/>
              </w:rPr>
            </w:pPr>
          </w:p>
          <w:p w:rsidR="002907A6" w:rsidRPr="002225D4" w:rsidRDefault="002907A6" w:rsidP="00A7721D">
            <w:pPr>
              <w:rPr>
                <w:b/>
              </w:rPr>
            </w:pPr>
            <w:bookmarkStart w:id="2" w:name="tree#1930"/>
            <w:r w:rsidRPr="002225D4">
              <w:rPr>
                <w:b/>
                <w:color w:val="000000"/>
              </w:rPr>
              <w:t xml:space="preserve">   - o descriere generală a contractelor semnificative de leasing;</w:t>
            </w:r>
            <w:bookmarkEnd w:id="2"/>
          </w:p>
        </w:tc>
        <w:tc>
          <w:tcPr>
            <w:tcW w:w="4410" w:type="dxa"/>
          </w:tcPr>
          <w:p w:rsidR="002907A6" w:rsidRDefault="002907A6" w:rsidP="00714542">
            <w:r>
              <w:t>Nu e cazul</w:t>
            </w:r>
          </w:p>
        </w:tc>
      </w:tr>
      <w:tr w:rsidR="002907A6" w:rsidTr="00D337C7">
        <w:tc>
          <w:tcPr>
            <w:tcW w:w="1075" w:type="dxa"/>
            <w:vMerge/>
          </w:tcPr>
          <w:p w:rsidR="002907A6" w:rsidRDefault="002907A6" w:rsidP="00714542"/>
        </w:tc>
        <w:tc>
          <w:tcPr>
            <w:tcW w:w="4410" w:type="dxa"/>
          </w:tcPr>
          <w:p w:rsidR="002907A6" w:rsidRPr="002225D4" w:rsidRDefault="002907A6" w:rsidP="00A7721D">
            <w:pPr>
              <w:rPr>
                <w:b/>
                <w:color w:val="000000"/>
              </w:rPr>
            </w:pPr>
            <w:r w:rsidRPr="002225D4">
              <w:rPr>
                <w:rStyle w:val="linie1"/>
              </w:rPr>
              <w:t>   -</w:t>
            </w:r>
            <w:r w:rsidRPr="002225D4">
              <w:rPr>
                <w:b/>
                <w:color w:val="000000"/>
              </w:rPr>
              <w:t xml:space="preserve"> dobânda de încasat aferentă perioadelor viitoare</w:t>
            </w:r>
          </w:p>
          <w:p w:rsidR="002907A6" w:rsidRPr="002225D4" w:rsidRDefault="002907A6" w:rsidP="00714542">
            <w:pPr>
              <w:rPr>
                <w:b/>
              </w:rPr>
            </w:pPr>
          </w:p>
        </w:tc>
        <w:tc>
          <w:tcPr>
            <w:tcW w:w="4410" w:type="dxa"/>
          </w:tcPr>
          <w:p w:rsidR="002907A6" w:rsidRDefault="002907A6" w:rsidP="00714542">
            <w:r>
              <w:t>Nu e cazul</w:t>
            </w:r>
          </w:p>
        </w:tc>
      </w:tr>
      <w:tr w:rsidR="002907A6" w:rsidTr="00D337C7">
        <w:tc>
          <w:tcPr>
            <w:tcW w:w="1075" w:type="dxa"/>
            <w:vMerge/>
          </w:tcPr>
          <w:p w:rsidR="002907A6" w:rsidRDefault="002907A6" w:rsidP="00714542"/>
        </w:tc>
        <w:tc>
          <w:tcPr>
            <w:tcW w:w="4410" w:type="dxa"/>
          </w:tcPr>
          <w:p w:rsidR="002907A6" w:rsidRPr="002225D4" w:rsidRDefault="002907A6" w:rsidP="00A7721D">
            <w:pPr>
              <w:rPr>
                <w:b/>
                <w:color w:val="000000"/>
              </w:rPr>
            </w:pPr>
            <w:r w:rsidRPr="002225D4">
              <w:rPr>
                <w:b/>
                <w:color w:val="000000"/>
              </w:rPr>
              <w:t xml:space="preserve">B. În cazul unui leasing financiar, locatarul va evidenţia următoarele: </w:t>
            </w:r>
          </w:p>
          <w:p w:rsidR="002907A6" w:rsidRPr="002225D4" w:rsidRDefault="002907A6" w:rsidP="00A7721D">
            <w:pPr>
              <w:rPr>
                <w:b/>
                <w:color w:val="000000"/>
              </w:rPr>
            </w:pPr>
          </w:p>
          <w:p w:rsidR="002907A6" w:rsidRPr="002225D4" w:rsidRDefault="002907A6" w:rsidP="00A7721D">
            <w:pPr>
              <w:rPr>
                <w:b/>
              </w:rPr>
            </w:pPr>
            <w:r w:rsidRPr="002225D4">
              <w:rPr>
                <w:rStyle w:val="linie1"/>
              </w:rPr>
              <w:t>   -</w:t>
            </w:r>
            <w:r w:rsidRPr="002225D4">
              <w:rPr>
                <w:b/>
                <w:color w:val="000000"/>
              </w:rPr>
              <w:t xml:space="preserve"> o descriere generală a contractelor importante de leasing, incluzând, dar fără a </w:t>
            </w:r>
            <w:r w:rsidRPr="002225D4">
              <w:rPr>
                <w:b/>
                <w:color w:val="000000"/>
              </w:rPr>
              <w:lastRenderedPageBreak/>
              <w:t xml:space="preserve">se limita la, următoarele: </w:t>
            </w:r>
          </w:p>
        </w:tc>
        <w:tc>
          <w:tcPr>
            <w:tcW w:w="4410" w:type="dxa"/>
          </w:tcPr>
          <w:p w:rsidR="002907A6" w:rsidRDefault="002907A6" w:rsidP="00714542">
            <w:r>
              <w:lastRenderedPageBreak/>
              <w:t>Nu e cazul</w:t>
            </w:r>
          </w:p>
        </w:tc>
      </w:tr>
      <w:tr w:rsidR="00A7721D" w:rsidTr="00D337C7">
        <w:tc>
          <w:tcPr>
            <w:tcW w:w="1075" w:type="dxa"/>
            <w:vMerge w:val="restart"/>
          </w:tcPr>
          <w:p w:rsidR="00A7721D" w:rsidRDefault="00A7721D" w:rsidP="00714542"/>
        </w:tc>
        <w:tc>
          <w:tcPr>
            <w:tcW w:w="4410" w:type="dxa"/>
          </w:tcPr>
          <w:p w:rsidR="00A7721D" w:rsidRPr="002225D4" w:rsidRDefault="00A7721D" w:rsidP="00A7721D">
            <w:pPr>
              <w:rPr>
                <w:b/>
                <w:color w:val="000000"/>
              </w:rPr>
            </w:pPr>
            <w:r w:rsidRPr="002225D4">
              <w:rPr>
                <w:rStyle w:val="linie1"/>
              </w:rPr>
              <w:t>   •</w:t>
            </w:r>
            <w:r w:rsidRPr="002225D4">
              <w:rPr>
                <w:b/>
                <w:color w:val="000000"/>
              </w:rPr>
              <w:t xml:space="preserve"> existenţa şi condiţiile opţiunilor de reînnoire sau cumpărare; </w:t>
            </w:r>
          </w:p>
          <w:p w:rsidR="00A7721D" w:rsidRPr="002225D4" w:rsidRDefault="00A7721D" w:rsidP="00714542">
            <w:pPr>
              <w:rPr>
                <w:b/>
              </w:rPr>
            </w:pPr>
          </w:p>
        </w:tc>
        <w:tc>
          <w:tcPr>
            <w:tcW w:w="4410" w:type="dxa"/>
          </w:tcPr>
          <w:p w:rsidR="00A7721D" w:rsidRDefault="00A7721D" w:rsidP="00714542"/>
        </w:tc>
      </w:tr>
      <w:tr w:rsidR="00A7721D" w:rsidTr="00D337C7">
        <w:tc>
          <w:tcPr>
            <w:tcW w:w="1075" w:type="dxa"/>
            <w:vMerge/>
          </w:tcPr>
          <w:p w:rsidR="00A7721D" w:rsidRDefault="00A7721D" w:rsidP="00714542"/>
        </w:tc>
        <w:tc>
          <w:tcPr>
            <w:tcW w:w="4410" w:type="dxa"/>
          </w:tcPr>
          <w:p w:rsidR="00A7721D" w:rsidRPr="002225D4" w:rsidRDefault="00A7721D" w:rsidP="002225D4">
            <w:r w:rsidRPr="002225D4">
              <w:rPr>
                <w:rStyle w:val="linie1"/>
              </w:rPr>
              <w:t>   •</w:t>
            </w:r>
            <w:r w:rsidRPr="002225D4">
              <w:rPr>
                <w:color w:val="000000"/>
              </w:rPr>
              <w:t xml:space="preserve"> restricţiile impuse prin contractele de leasing, cum ar fi cele referitoare la datorii suplimentare şi alte operaţiuni de leasing. </w:t>
            </w:r>
          </w:p>
        </w:tc>
        <w:tc>
          <w:tcPr>
            <w:tcW w:w="4410" w:type="dxa"/>
          </w:tcPr>
          <w:p w:rsidR="00A7721D" w:rsidRDefault="00A7721D" w:rsidP="00714542"/>
        </w:tc>
      </w:tr>
      <w:tr w:rsidR="00A7721D" w:rsidTr="00D337C7">
        <w:tc>
          <w:tcPr>
            <w:tcW w:w="1075" w:type="dxa"/>
            <w:vMerge/>
          </w:tcPr>
          <w:p w:rsidR="00A7721D" w:rsidRDefault="00A7721D" w:rsidP="00714542"/>
        </w:tc>
        <w:tc>
          <w:tcPr>
            <w:tcW w:w="4410" w:type="dxa"/>
          </w:tcPr>
          <w:p w:rsidR="00A7721D" w:rsidRPr="002225D4" w:rsidRDefault="00A7721D" w:rsidP="00714542">
            <w:r w:rsidRPr="002225D4">
              <w:rPr>
                <w:rStyle w:val="linie1"/>
              </w:rPr>
              <w:t>   -</w:t>
            </w:r>
            <w:r w:rsidRPr="002225D4">
              <w:rPr>
                <w:color w:val="000000"/>
              </w:rPr>
              <w:t xml:space="preserve"> dobânda de plătit aferentă perioadelor viitoare</w:t>
            </w:r>
          </w:p>
        </w:tc>
        <w:tc>
          <w:tcPr>
            <w:tcW w:w="4410" w:type="dxa"/>
          </w:tcPr>
          <w:p w:rsidR="00A7721D" w:rsidRDefault="00A7721D" w:rsidP="00714542"/>
        </w:tc>
      </w:tr>
      <w:tr w:rsidR="00714542" w:rsidTr="00D337C7">
        <w:tc>
          <w:tcPr>
            <w:tcW w:w="1075" w:type="dxa"/>
          </w:tcPr>
          <w:p w:rsidR="00714542" w:rsidRDefault="00A7721D" w:rsidP="00714542">
            <w:r>
              <w:t>j.</w:t>
            </w:r>
          </w:p>
        </w:tc>
        <w:tc>
          <w:tcPr>
            <w:tcW w:w="4410" w:type="dxa"/>
          </w:tcPr>
          <w:p w:rsidR="00714542" w:rsidRPr="002225D4" w:rsidRDefault="00A7721D" w:rsidP="00714542">
            <w:pPr>
              <w:rPr>
                <w:b/>
              </w:rPr>
            </w:pPr>
            <w:r w:rsidRPr="002225D4">
              <w:rPr>
                <w:b/>
                <w:color w:val="000000"/>
              </w:rPr>
              <w:t>Onorariile plătite auditorilor/cenzorilor şi onorariile plătite pentru alte servicii de certificare, servicii de consultanţă fiscală şi alte servicii decât cele de audit</w:t>
            </w:r>
          </w:p>
        </w:tc>
        <w:tc>
          <w:tcPr>
            <w:tcW w:w="4410" w:type="dxa"/>
          </w:tcPr>
          <w:p w:rsidR="00714542" w:rsidRDefault="00A7721D" w:rsidP="00714542">
            <w:r>
              <w:t>Nu e cazul</w:t>
            </w:r>
          </w:p>
        </w:tc>
      </w:tr>
      <w:tr w:rsidR="00714542" w:rsidTr="00D337C7">
        <w:tc>
          <w:tcPr>
            <w:tcW w:w="1075" w:type="dxa"/>
          </w:tcPr>
          <w:p w:rsidR="00714542" w:rsidRDefault="00303C69" w:rsidP="00714542">
            <w:r>
              <w:t>k.</w:t>
            </w:r>
          </w:p>
        </w:tc>
        <w:tc>
          <w:tcPr>
            <w:tcW w:w="4410" w:type="dxa"/>
          </w:tcPr>
          <w:p w:rsidR="00714542" w:rsidRPr="002225D4" w:rsidRDefault="00303C69" w:rsidP="00714542">
            <w:pPr>
              <w:rPr>
                <w:b/>
              </w:rPr>
            </w:pPr>
            <w:r w:rsidRPr="002225D4">
              <w:rPr>
                <w:b/>
                <w:color w:val="000000"/>
              </w:rPr>
              <w:t>Efectele comerciale scontate neajunse la scadenţă</w:t>
            </w:r>
          </w:p>
        </w:tc>
        <w:tc>
          <w:tcPr>
            <w:tcW w:w="4410" w:type="dxa"/>
          </w:tcPr>
          <w:p w:rsidR="00714542" w:rsidRDefault="00303C69" w:rsidP="00714542">
            <w:r>
              <w:t>Nu e cazul</w:t>
            </w:r>
          </w:p>
        </w:tc>
      </w:tr>
      <w:tr w:rsidR="00303C69" w:rsidTr="007C33DA">
        <w:tc>
          <w:tcPr>
            <w:tcW w:w="1075" w:type="dxa"/>
          </w:tcPr>
          <w:p w:rsidR="00303C69" w:rsidRDefault="00303C69" w:rsidP="00303C69">
            <w:r>
              <w:t>l.</w:t>
            </w:r>
          </w:p>
        </w:tc>
        <w:tc>
          <w:tcPr>
            <w:tcW w:w="4410" w:type="dxa"/>
            <w:vAlign w:val="center"/>
          </w:tcPr>
          <w:p w:rsidR="00303C69" w:rsidRPr="002225D4" w:rsidRDefault="00303C69" w:rsidP="00303C69">
            <w:pPr>
              <w:rPr>
                <w:b/>
              </w:rPr>
            </w:pPr>
            <w:r w:rsidRPr="002225D4">
              <w:rPr>
                <w:b/>
                <w:color w:val="000000"/>
              </w:rPr>
              <w:t>Atunci când suma de rambursat pentru datorii este mai mare decât suma primită, diferenţa se prezintă în notele explicative</w:t>
            </w:r>
          </w:p>
        </w:tc>
        <w:tc>
          <w:tcPr>
            <w:tcW w:w="4410" w:type="dxa"/>
          </w:tcPr>
          <w:p w:rsidR="00303C69" w:rsidRDefault="00303C69" w:rsidP="00303C69">
            <w:r>
              <w:t>Nu e cazul</w:t>
            </w:r>
          </w:p>
        </w:tc>
      </w:tr>
      <w:tr w:rsidR="00303C69" w:rsidTr="00D337C7">
        <w:tc>
          <w:tcPr>
            <w:tcW w:w="1075" w:type="dxa"/>
          </w:tcPr>
          <w:p w:rsidR="00303C69" w:rsidRDefault="00303C69" w:rsidP="00303C69">
            <w:r>
              <w:t>m.</w:t>
            </w:r>
          </w:p>
        </w:tc>
        <w:tc>
          <w:tcPr>
            <w:tcW w:w="4410" w:type="dxa"/>
          </w:tcPr>
          <w:p w:rsidR="00303C69" w:rsidRPr="002225D4" w:rsidRDefault="00303C69" w:rsidP="00303C69">
            <w:pPr>
              <w:rPr>
                <w:b/>
              </w:rPr>
            </w:pPr>
            <w:r w:rsidRPr="002225D4">
              <w:rPr>
                <w:b/>
              </w:rPr>
              <w:t>Datoriile probabile si angajamentele acordate</w:t>
            </w:r>
          </w:p>
        </w:tc>
        <w:tc>
          <w:tcPr>
            <w:tcW w:w="4410" w:type="dxa"/>
          </w:tcPr>
          <w:p w:rsidR="00303C69" w:rsidRDefault="00303C69" w:rsidP="00303C69">
            <w:r>
              <w:t>Nu e cazul</w:t>
            </w:r>
          </w:p>
        </w:tc>
      </w:tr>
      <w:tr w:rsidR="00303C69" w:rsidTr="00D337C7">
        <w:tc>
          <w:tcPr>
            <w:tcW w:w="1075" w:type="dxa"/>
          </w:tcPr>
          <w:p w:rsidR="00303C69" w:rsidRDefault="00303C69" w:rsidP="00303C69">
            <w:r>
              <w:t>n.</w:t>
            </w:r>
          </w:p>
        </w:tc>
        <w:tc>
          <w:tcPr>
            <w:tcW w:w="4410" w:type="dxa"/>
          </w:tcPr>
          <w:p w:rsidR="00303C69" w:rsidRPr="002225D4" w:rsidRDefault="00303C69" w:rsidP="00303C69">
            <w:pPr>
              <w:rPr>
                <w:b/>
              </w:rPr>
            </w:pPr>
            <w:r w:rsidRPr="002225D4">
              <w:rPr>
                <w:b/>
                <w:color w:val="000000"/>
              </w:rPr>
              <w:t>Angajamentele sub forma garanţiilor de orice fel</w:t>
            </w:r>
          </w:p>
        </w:tc>
        <w:tc>
          <w:tcPr>
            <w:tcW w:w="4410" w:type="dxa"/>
          </w:tcPr>
          <w:p w:rsidR="00303C69" w:rsidRDefault="00303C69" w:rsidP="00303C69">
            <w:r>
              <w:t>Nu e cazul</w:t>
            </w:r>
          </w:p>
        </w:tc>
      </w:tr>
      <w:tr w:rsidR="00303C69" w:rsidTr="00D337C7">
        <w:tc>
          <w:tcPr>
            <w:tcW w:w="1075" w:type="dxa"/>
          </w:tcPr>
          <w:p w:rsidR="00303C69" w:rsidRDefault="00303C69" w:rsidP="00303C69">
            <w:r>
              <w:t>o.</w:t>
            </w:r>
          </w:p>
        </w:tc>
        <w:tc>
          <w:tcPr>
            <w:tcW w:w="4410" w:type="dxa"/>
          </w:tcPr>
          <w:p w:rsidR="00303C69" w:rsidRPr="002225D4" w:rsidRDefault="00303C69" w:rsidP="00303C69">
            <w:pPr>
              <w:rPr>
                <w:b/>
              </w:rPr>
            </w:pPr>
            <w:r w:rsidRPr="002225D4">
              <w:rPr>
                <w:b/>
                <w:color w:val="000000"/>
              </w:rPr>
              <w:t>Rezerve din reevaluare</w:t>
            </w:r>
          </w:p>
        </w:tc>
        <w:tc>
          <w:tcPr>
            <w:tcW w:w="4410" w:type="dxa"/>
          </w:tcPr>
          <w:p w:rsidR="00303C69" w:rsidRDefault="00303C69" w:rsidP="00303C69">
            <w:r>
              <w:t>Rezervele din reevaluare au scazut de la 1.866.143 lei la 406.502 lei datorita faptului ca au fost folosite pentru acoperirea unor pierderi   din anii precedenti rezultate din reevaluari in minus ale activelor . Am folosit, deci, rezervele din reevaluare constituite din reevaluari positive ale imobilizarilor,  pentru acoperirea pierderilor rezultate din reevaluari negative anterioare ale unor imobilizari.</w:t>
            </w:r>
          </w:p>
        </w:tc>
      </w:tr>
      <w:tr w:rsidR="00303C69" w:rsidTr="00D337C7">
        <w:tc>
          <w:tcPr>
            <w:tcW w:w="1075" w:type="dxa"/>
          </w:tcPr>
          <w:p w:rsidR="00303C69" w:rsidRDefault="00303C69" w:rsidP="00303C69">
            <w:r>
              <w:t>p.</w:t>
            </w:r>
          </w:p>
        </w:tc>
        <w:tc>
          <w:tcPr>
            <w:tcW w:w="4410" w:type="dxa"/>
          </w:tcPr>
          <w:p w:rsidR="00303C69" w:rsidRPr="002225D4" w:rsidRDefault="00303C69" w:rsidP="00303C69">
            <w:pPr>
              <w:rPr>
                <w:b/>
              </w:rPr>
            </w:pPr>
            <w:r w:rsidRPr="002225D4">
              <w:rPr>
                <w:b/>
              </w:rPr>
              <w:t>Evolutia stocurilor</w:t>
            </w:r>
          </w:p>
        </w:tc>
        <w:tc>
          <w:tcPr>
            <w:tcW w:w="4410" w:type="dxa"/>
          </w:tcPr>
          <w:p w:rsidR="00303C69" w:rsidRDefault="00303C69" w:rsidP="00303C69">
            <w:r>
              <w:t>Stocurile de materii prime si material au crescut de la 1.296.462 lei, sold la 31.12.2014 la 1.534.739 lei , sold la 31.12.2015. Cresterea cu 18% se datoreaza in mare parte aprovizionarii cu material antiderapant realizata la sfarsitul anului 2015, necesara pentru actiunea de deszapezire.</w:t>
            </w:r>
          </w:p>
        </w:tc>
      </w:tr>
      <w:tr w:rsidR="00303C69" w:rsidTr="00D337C7">
        <w:tc>
          <w:tcPr>
            <w:tcW w:w="1075" w:type="dxa"/>
          </w:tcPr>
          <w:p w:rsidR="00303C69" w:rsidRDefault="00303C69" w:rsidP="00303C69">
            <w:r>
              <w:t>r.</w:t>
            </w:r>
          </w:p>
        </w:tc>
        <w:tc>
          <w:tcPr>
            <w:tcW w:w="4410" w:type="dxa"/>
          </w:tcPr>
          <w:p w:rsidR="00303C69" w:rsidRPr="002225D4" w:rsidRDefault="00303C69" w:rsidP="00303C69">
            <w:pPr>
              <w:rPr>
                <w:b/>
              </w:rPr>
            </w:pPr>
            <w:r w:rsidRPr="002225D4">
              <w:rPr>
                <w:b/>
              </w:rPr>
              <w:t>Patrimoniul regiei</w:t>
            </w:r>
          </w:p>
        </w:tc>
        <w:tc>
          <w:tcPr>
            <w:tcW w:w="4410" w:type="dxa"/>
          </w:tcPr>
          <w:p w:rsidR="00303C69" w:rsidRDefault="00303C69" w:rsidP="00303C69">
            <w:r>
              <w:t xml:space="preserve">In anul 2015 se constata o scadere a patrimoniului regiei de la 10.887.397 lei la 4.908.761 lei. Aceasta scadere nu comporta o scadere materiala a patrimoniului, aceasta modificare rezultand din constatarea unor inregistrari anterioaare eronate. Astfel, prin procesul verbal de predare –primire  a activelor intocmit  intre CJ Arges si RAJD Arges in anul 2010, valoarea activelor este de 4.908.761 lei , dar in contabilitatea RAJD Arges </w:t>
            </w:r>
            <w:r>
              <w:lastRenderedPageBreak/>
              <w:t>s-a inregistrat eronat valoarea bruta a activelor , 10.887.397 lei, (fara a se tine cont de amortizarea calculata pana atunci) , iar pentru echilibrarea balantei contabile s-a incarcat fortat debitul  contul 117.04 ,,Rezultat reportat provenit din corectarea erorilor,, acesta fiind interpretat ca o pierdere neacoperita a exercitiilor financiare anterioare. In cursul anului 2015 s-a corectat contabil inregistrarile eronate , valoarea patrimoniului revenind la valoarea din procesul verbal de predare –primire intocmit in anul 2010, iar soldul contului 117.04 a fost eliminat, regia neinregistrand pierdere din anii anteriori.</w:t>
            </w:r>
          </w:p>
        </w:tc>
      </w:tr>
      <w:tr w:rsidR="00303C69" w:rsidTr="00D337C7">
        <w:tc>
          <w:tcPr>
            <w:tcW w:w="1075" w:type="dxa"/>
          </w:tcPr>
          <w:p w:rsidR="00303C69" w:rsidRDefault="00303C69" w:rsidP="00303C69">
            <w:r>
              <w:lastRenderedPageBreak/>
              <w:t>s.</w:t>
            </w:r>
          </w:p>
        </w:tc>
        <w:tc>
          <w:tcPr>
            <w:tcW w:w="4410" w:type="dxa"/>
          </w:tcPr>
          <w:p w:rsidR="00303C69" w:rsidRPr="002225D4" w:rsidRDefault="00303C69" w:rsidP="00303C69">
            <w:pPr>
              <w:rPr>
                <w:b/>
              </w:rPr>
            </w:pPr>
            <w:r w:rsidRPr="002225D4">
              <w:rPr>
                <w:b/>
                <w:color w:val="000000"/>
              </w:rPr>
              <w:t>Evolutia cifrei de afaceri si a rezultatului exercitiului.</w:t>
            </w:r>
          </w:p>
        </w:tc>
        <w:tc>
          <w:tcPr>
            <w:tcW w:w="4410" w:type="dxa"/>
          </w:tcPr>
          <w:p w:rsidR="00303C69" w:rsidRDefault="00303C69" w:rsidP="00303C69">
            <w:r>
              <w:t>Cifra de afaceri aferenta exercitiului financiar 2015 a fost in scadere  cu 35% fata de anul anterior si reprezinta  o realizare de 72% a obiectivelor propuse pentru anul 2015. Acest lucru se datoreaza blocajelor din activitatea curenta desfasurata, blocaje datorate litigiilor aflate pe rol . Aceste litigii, a caror solutionare a fost intotdeauna pozitiva pentru RAJD Arges, au atras blocarea conturilor bancare pentru aproximativ 6 luni din an, aspect negativ care a determinat imposibilitatea platilor catre furnizori si , deci, imposibilitatea aprovizionarii cu materiale pentru continuarea lucrarilor.</w:t>
            </w:r>
          </w:p>
          <w:p w:rsidR="00303C69" w:rsidRDefault="00303C69" w:rsidP="00303C69"/>
          <w:p w:rsidR="00303C69" w:rsidRDefault="00303C69" w:rsidP="00303C69">
            <w:r>
              <w:t>Cheltuielile aferente anului 2015 au fost si ele in scadere cu 30% fata de anul 2014, scaderea datorandu-se scaderii volumului de activitate desfasurata in acest an , asa cum am explicat mai sus.</w:t>
            </w:r>
          </w:p>
          <w:p w:rsidR="00303C69" w:rsidRDefault="00303C69" w:rsidP="00303C69"/>
          <w:p w:rsidR="00303C69" w:rsidRDefault="00303C69" w:rsidP="00303C69">
            <w:r>
              <w:t>Printr-o analiza a activitatii desfasurate in anul 2015 de catre RAJD Arges s-a constat ca la o cifra de afaceri de 14.355.398 lei, realizata in anul de referinta, nu se pot acoperi cheltuielile fixe (salarii, utilitati, impozite, taxe , alte cheltuieli fixe), motiv ce a determinat o pierdere contabila  de 1.136.020 lei . Cheltuielile variabile (materii prime, materiale, combustibili) au scazut proportional cu veniturile , cheltuielile fixe ramanad in aceleasi valori. Pe langa pierderea contabila acest lucru a determinat si acumularea de plati restante la furnizori</w:t>
            </w:r>
          </w:p>
        </w:tc>
      </w:tr>
      <w:tr w:rsidR="00945318" w:rsidTr="00D337C7">
        <w:tc>
          <w:tcPr>
            <w:tcW w:w="1075" w:type="dxa"/>
          </w:tcPr>
          <w:p w:rsidR="00945318" w:rsidRDefault="00945318" w:rsidP="00303C69">
            <w:r>
              <w:lastRenderedPageBreak/>
              <w:t>t.</w:t>
            </w:r>
          </w:p>
        </w:tc>
        <w:tc>
          <w:tcPr>
            <w:tcW w:w="4410" w:type="dxa"/>
          </w:tcPr>
          <w:p w:rsidR="00945318" w:rsidRPr="002225D4" w:rsidRDefault="00945318" w:rsidP="00303C69">
            <w:pPr>
              <w:rPr>
                <w:b/>
                <w:color w:val="000000"/>
              </w:rPr>
            </w:pPr>
            <w:r>
              <w:rPr>
                <w:b/>
                <w:color w:val="000000"/>
              </w:rPr>
              <w:t>Cheltuieli cu colaboratorii</w:t>
            </w:r>
          </w:p>
        </w:tc>
        <w:tc>
          <w:tcPr>
            <w:tcW w:w="4410" w:type="dxa"/>
          </w:tcPr>
          <w:p w:rsidR="00945318" w:rsidRDefault="00945318" w:rsidP="00303C69">
            <w:r>
              <w:t>Cheltuielile cu colaboratorii in valoare de 234.475 lei reprezinta remuneratiile membrilor Consiliului de Administratie si ale membrilor Comitetului Director care colaboreaza cu regia pe baza contractelor de mandat conform legii 109/2011.</w:t>
            </w:r>
            <w:bookmarkStart w:id="3" w:name="_GoBack"/>
            <w:bookmarkEnd w:id="3"/>
          </w:p>
        </w:tc>
      </w:tr>
    </w:tbl>
    <w:p w:rsidR="00303C69" w:rsidRDefault="00303C69" w:rsidP="00303C69">
      <w:pPr>
        <w:ind w:firstLine="720"/>
      </w:pPr>
      <w:r w:rsidRPr="007E40E3">
        <w:t xml:space="preserve"> </w:t>
      </w:r>
    </w:p>
    <w:p w:rsidR="00303C69" w:rsidRPr="002225D4" w:rsidRDefault="00303C69" w:rsidP="00303C69">
      <w:pPr>
        <w:ind w:firstLine="720"/>
        <w:rPr>
          <w:b/>
        </w:rPr>
      </w:pPr>
      <w:r w:rsidRPr="002225D4">
        <w:rPr>
          <w:b/>
        </w:rPr>
        <w:t xml:space="preserve">  Director General                                                                                     Director Economic</w:t>
      </w:r>
    </w:p>
    <w:p w:rsidR="00E22FC8" w:rsidRPr="002225D4" w:rsidRDefault="00303C69" w:rsidP="00303C69">
      <w:pPr>
        <w:ind w:firstLine="720"/>
        <w:rPr>
          <w:b/>
        </w:rPr>
      </w:pPr>
      <w:r w:rsidRPr="002225D4">
        <w:rPr>
          <w:b/>
        </w:rPr>
        <w:t xml:space="preserve">    Nicolau Alina                                                                                          Ghita  Claudia   </w:t>
      </w:r>
    </w:p>
    <w:sectPr w:rsidR="00E22FC8" w:rsidRPr="002225D4" w:rsidSect="00F25366">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129" w:rsidRDefault="00C33129" w:rsidP="00714542">
      <w:pPr>
        <w:spacing w:after="0" w:line="240" w:lineRule="auto"/>
      </w:pPr>
      <w:r>
        <w:separator/>
      </w:r>
    </w:p>
  </w:endnote>
  <w:endnote w:type="continuationSeparator" w:id="0">
    <w:p w:rsidR="00C33129" w:rsidRDefault="00C33129" w:rsidP="00714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129" w:rsidRDefault="00C33129" w:rsidP="00714542">
      <w:pPr>
        <w:spacing w:after="0" w:line="240" w:lineRule="auto"/>
      </w:pPr>
      <w:r>
        <w:separator/>
      </w:r>
    </w:p>
  </w:footnote>
  <w:footnote w:type="continuationSeparator" w:id="0">
    <w:p w:rsidR="00C33129" w:rsidRDefault="00C33129" w:rsidP="007145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4167"/>
    <w:multiLevelType w:val="hybridMultilevel"/>
    <w:tmpl w:val="0E040450"/>
    <w:lvl w:ilvl="0" w:tplc="CB6805CE">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504B044D"/>
    <w:multiLevelType w:val="hybridMultilevel"/>
    <w:tmpl w:val="8DB0FA26"/>
    <w:lvl w:ilvl="0" w:tplc="C728D2F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A22219B"/>
    <w:multiLevelType w:val="hybridMultilevel"/>
    <w:tmpl w:val="5060F2E2"/>
    <w:lvl w:ilvl="0" w:tplc="AA32BA3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714542"/>
    <w:rsid w:val="00106340"/>
    <w:rsid w:val="002225D4"/>
    <w:rsid w:val="002907A6"/>
    <w:rsid w:val="00303C69"/>
    <w:rsid w:val="00574D29"/>
    <w:rsid w:val="005B3488"/>
    <w:rsid w:val="005E5D56"/>
    <w:rsid w:val="0068361E"/>
    <w:rsid w:val="00714542"/>
    <w:rsid w:val="00945318"/>
    <w:rsid w:val="009D6DDF"/>
    <w:rsid w:val="00A7721D"/>
    <w:rsid w:val="00C33129"/>
    <w:rsid w:val="00D337C7"/>
    <w:rsid w:val="00F014B7"/>
    <w:rsid w:val="00F253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45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6340"/>
    <w:pPr>
      <w:ind w:left="720"/>
      <w:contextualSpacing/>
    </w:pPr>
  </w:style>
  <w:style w:type="character" w:customStyle="1" w:styleId="linie1">
    <w:name w:val="linie1"/>
    <w:rsid w:val="00A7721D"/>
    <w:rPr>
      <w:b/>
      <w:bCs/>
      <w:color w:val="00000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7B608-CFA8-4505-BE34-2B5492A78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1496</Words>
  <Characters>8679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cjarges</Company>
  <LinksUpToDate>false</LinksUpToDate>
  <CharactersWithSpaces>10155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loredanat</cp:lastModifiedBy>
  <cp:revision>2</cp:revision>
  <dcterms:created xsi:type="dcterms:W3CDTF">2016-07-21T08:21:00Z</dcterms:created>
  <dcterms:modified xsi:type="dcterms:W3CDTF">2016-07-21T08:21:00Z</dcterms:modified>
</cp:coreProperties>
</file>