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62" w:rsidRDefault="00EE3662" w:rsidP="00EE366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8E4FBF">
        <w:rPr>
          <w:b/>
        </w:rPr>
        <w:t>164/23.04.2025</w:t>
      </w: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Pr="00E01DDB" w:rsidRDefault="00EE3662" w:rsidP="00EE3662">
      <w:pPr>
        <w:tabs>
          <w:tab w:val="left" w:pos="1663"/>
        </w:tabs>
        <w:jc w:val="center"/>
        <w:rPr>
          <w:b/>
          <w:sz w:val="28"/>
          <w:szCs w:val="28"/>
        </w:rPr>
      </w:pPr>
      <w:r w:rsidRPr="00E01DDB">
        <w:rPr>
          <w:b/>
          <w:sz w:val="28"/>
          <w:szCs w:val="28"/>
        </w:rPr>
        <w:t xml:space="preserve">Date de identificare ale bunurilor imobile ce se dau în administrare  D.G.A.S.P.C. Argeș, </w:t>
      </w:r>
    </w:p>
    <w:p w:rsidR="00EE3662" w:rsidRPr="00E01DDB" w:rsidRDefault="00EE3662" w:rsidP="00EE3662">
      <w:pPr>
        <w:tabs>
          <w:tab w:val="left" w:pos="1663"/>
        </w:tabs>
        <w:jc w:val="center"/>
        <w:rPr>
          <w:i/>
          <w:color w:val="FF0000"/>
          <w:sz w:val="28"/>
          <w:szCs w:val="28"/>
        </w:rPr>
      </w:pPr>
      <w:r w:rsidRPr="00E01DDB">
        <w:rPr>
          <w:b/>
          <w:sz w:val="28"/>
          <w:szCs w:val="28"/>
        </w:rPr>
        <w:t>situate în</w:t>
      </w:r>
      <w:r w:rsidRPr="00E01DDB">
        <w:rPr>
          <w:rStyle w:val="Strong"/>
          <w:i/>
          <w:sz w:val="28"/>
          <w:szCs w:val="28"/>
        </w:rPr>
        <w:t xml:space="preserve"> </w:t>
      </w:r>
      <w:r w:rsidRPr="00E01DDB">
        <w:rPr>
          <w:rStyle w:val="Strong"/>
          <w:sz w:val="28"/>
          <w:szCs w:val="28"/>
        </w:rPr>
        <w:t xml:space="preserve">Câmpulung, </w:t>
      </w:r>
      <w:r w:rsidRPr="00E01DDB">
        <w:rPr>
          <w:b/>
          <w:sz w:val="28"/>
          <w:szCs w:val="28"/>
        </w:rPr>
        <w:t>str. Revoluției, nr. 14,</w:t>
      </w:r>
      <w:r w:rsidRPr="00E01DDB">
        <w:rPr>
          <w:rStyle w:val="Strong"/>
          <w:sz w:val="28"/>
          <w:szCs w:val="28"/>
        </w:rPr>
        <w:t xml:space="preserve"> județul Argeș</w:t>
      </w:r>
    </w:p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701"/>
        <w:gridCol w:w="2268"/>
        <w:gridCol w:w="1559"/>
        <w:gridCol w:w="1418"/>
        <w:gridCol w:w="1842"/>
      </w:tblGrid>
      <w:tr w:rsidR="00EE3662" w:rsidRPr="002F2BBB" w:rsidTr="00E765F9"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 w:rsidRPr="00926C4F">
              <w:rPr>
                <w:b/>
                <w:sz w:val="22"/>
                <w:szCs w:val="22"/>
              </w:rPr>
              <w:t>Cod de clasifi-care</w:t>
            </w:r>
          </w:p>
        </w:tc>
        <w:tc>
          <w:tcPr>
            <w:tcW w:w="1701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 w:rsidRPr="00926C4F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 w:rsidRPr="00926C4F">
              <w:rPr>
                <w:b/>
                <w:sz w:val="22"/>
                <w:szCs w:val="22"/>
              </w:rPr>
              <w:t>Elemente de identificare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 w:rsidRPr="00926C4F">
              <w:rPr>
                <w:b/>
                <w:sz w:val="22"/>
                <w:szCs w:val="22"/>
              </w:rPr>
              <w:t>Valoarea de inventar (lei)</w:t>
            </w:r>
          </w:p>
        </w:tc>
        <w:tc>
          <w:tcPr>
            <w:tcW w:w="1418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842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Destinația</w:t>
            </w:r>
          </w:p>
        </w:tc>
      </w:tr>
      <w:tr w:rsidR="00EE3662" w:rsidRPr="002F2BBB" w:rsidTr="00E765F9"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1.6.4</w:t>
            </w:r>
          </w:p>
        </w:tc>
        <w:tc>
          <w:tcPr>
            <w:tcW w:w="1701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 xml:space="preserve">Centrul de Zi </w:t>
            </w:r>
          </w:p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 xml:space="preserve">P+E 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color w:val="000000"/>
                <w:sz w:val="22"/>
                <w:szCs w:val="22"/>
              </w:rPr>
              <w:t>C9</w:t>
            </w: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 xml:space="preserve">Câmpulung, str. Revoluției, nr. 14, jud. Argeș 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Sc = 246 mp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 xml:space="preserve"> Sd = 434 mp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r w:rsidRPr="00926C4F">
              <w:rPr>
                <w:sz w:val="22"/>
                <w:szCs w:val="22"/>
                <w:lang w:val="en-US"/>
              </w:rPr>
              <w:t>2.240.811.28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E3662" w:rsidRPr="00926C4F" w:rsidRDefault="00EE3662" w:rsidP="00E765F9">
            <w:r w:rsidRPr="00926C4F">
              <w:rPr>
                <w:color w:val="000000"/>
                <w:sz w:val="22"/>
                <w:szCs w:val="22"/>
              </w:rPr>
              <w:t>CF 85984 Câmpulung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3C7313">
              <w:t xml:space="preserve">Servicii sociale, în scopul înființării </w:t>
            </w:r>
            <w:r w:rsidRPr="006D772D">
              <w:rPr>
                <w:i/>
              </w:rPr>
              <w:t xml:space="preserve">Complexului de Servicii Sociale, </w:t>
            </w:r>
            <w:r>
              <w:rPr>
                <w:i/>
              </w:rPr>
              <w:t>Mun. Câmpulung</w:t>
            </w:r>
            <w:r w:rsidRPr="006D772D">
              <w:rPr>
                <w:i/>
              </w:rPr>
              <w:t>, județul Argeș</w:t>
            </w:r>
            <w:r w:rsidRPr="00926C4F">
              <w:rPr>
                <w:sz w:val="22"/>
                <w:szCs w:val="22"/>
              </w:rPr>
              <w:t xml:space="preserve"> </w:t>
            </w:r>
          </w:p>
        </w:tc>
      </w:tr>
      <w:tr w:rsidR="00EE3662" w:rsidRPr="002F2BBB" w:rsidTr="00E765F9"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1.6.4</w:t>
            </w:r>
          </w:p>
        </w:tc>
        <w:tc>
          <w:tcPr>
            <w:tcW w:w="1701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>Casă de Tip Familial nr. 1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color w:val="000000"/>
                <w:sz w:val="22"/>
                <w:szCs w:val="22"/>
              </w:rPr>
              <w:t>C10</w:t>
            </w: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 xml:space="preserve">Câmpulung, str. Revoluției, nr. 14, jud. Argeș 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Sc = 225 mp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 xml:space="preserve"> Sd = 450 mp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r w:rsidRPr="00926C4F">
              <w:rPr>
                <w:sz w:val="22"/>
                <w:szCs w:val="22"/>
                <w:lang w:val="en-US"/>
              </w:rPr>
              <w:t>2.278.727,07</w:t>
            </w:r>
          </w:p>
        </w:tc>
        <w:tc>
          <w:tcPr>
            <w:tcW w:w="1418" w:type="dxa"/>
            <w:vMerge/>
            <w:shd w:val="clear" w:color="auto" w:fill="auto"/>
          </w:tcPr>
          <w:p w:rsidR="00EE3662" w:rsidRPr="00926C4F" w:rsidRDefault="00EE3662" w:rsidP="00E765F9"/>
        </w:tc>
        <w:tc>
          <w:tcPr>
            <w:tcW w:w="1842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</w:tr>
      <w:tr w:rsidR="00EE3662" w:rsidRPr="002F2BBB" w:rsidTr="00E765F9"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1.6.4</w:t>
            </w:r>
          </w:p>
        </w:tc>
        <w:tc>
          <w:tcPr>
            <w:tcW w:w="1701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>Casă de Tip Familial nr. 2</w:t>
            </w:r>
          </w:p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>C11</w:t>
            </w:r>
          </w:p>
          <w:p w:rsidR="00EE3662" w:rsidRPr="00926C4F" w:rsidRDefault="00EE3662" w:rsidP="00E765F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Câmpulung, str. Revoluției, nr. 14, jud. Argeș</w:t>
            </w:r>
          </w:p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Sc = 225 mp</w:t>
            </w:r>
          </w:p>
          <w:p w:rsidR="00EE3662" w:rsidRPr="00926C4F" w:rsidRDefault="00EE3662" w:rsidP="00E765F9">
            <w:pPr>
              <w:jc w:val="center"/>
            </w:pPr>
            <w:r>
              <w:rPr>
                <w:sz w:val="22"/>
                <w:szCs w:val="22"/>
              </w:rPr>
              <w:t>Sd= 4</w:t>
            </w:r>
            <w:r w:rsidRPr="00926C4F">
              <w:rPr>
                <w:sz w:val="22"/>
                <w:szCs w:val="22"/>
              </w:rPr>
              <w:t>50 mp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  <w:lang w:val="en-US"/>
              </w:rPr>
              <w:t>2.282.245,81</w:t>
            </w:r>
          </w:p>
        </w:tc>
        <w:tc>
          <w:tcPr>
            <w:tcW w:w="1418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</w:tr>
      <w:tr w:rsidR="00EE3662" w:rsidRPr="002F2BBB" w:rsidTr="00E765F9"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1.6.3.2</w:t>
            </w:r>
          </w:p>
        </w:tc>
        <w:tc>
          <w:tcPr>
            <w:tcW w:w="1701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color w:val="000000"/>
              </w:rPr>
            </w:pPr>
            <w:r w:rsidRPr="00926C4F">
              <w:rPr>
                <w:color w:val="000000"/>
                <w:sz w:val="22"/>
                <w:szCs w:val="22"/>
              </w:rPr>
              <w:t>Împrejmuire gard 76 m</w:t>
            </w: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Câmpulung, str. Revoluției, nr. 14, jud. Argeș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lang w:val="en-US"/>
              </w:rPr>
            </w:pPr>
            <w:r w:rsidRPr="00926C4F">
              <w:rPr>
                <w:sz w:val="22"/>
                <w:szCs w:val="22"/>
                <w:lang w:val="en-US"/>
              </w:rPr>
              <w:t>189.231,31</w:t>
            </w:r>
          </w:p>
        </w:tc>
        <w:tc>
          <w:tcPr>
            <w:tcW w:w="1418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</w:tr>
      <w:tr w:rsidR="00EE3662" w:rsidRPr="002F2BBB" w:rsidTr="00E765F9">
        <w:trPr>
          <w:trHeight w:val="1301"/>
        </w:trPr>
        <w:tc>
          <w:tcPr>
            <w:tcW w:w="959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E3662" w:rsidRDefault="00EE3662" w:rsidP="00E765F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Teren</w:t>
            </w:r>
          </w:p>
          <w:p w:rsidR="00EE3662" w:rsidRPr="00926C4F" w:rsidRDefault="00EE3662" w:rsidP="00E765F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EE3662" w:rsidRPr="00926C4F" w:rsidRDefault="00EE3662" w:rsidP="00E765F9">
            <w:pPr>
              <w:jc w:val="center"/>
            </w:pPr>
            <w:r w:rsidRPr="00926C4F">
              <w:rPr>
                <w:sz w:val="22"/>
                <w:szCs w:val="22"/>
              </w:rPr>
              <w:t>Câmpulung, str. Revoluției, nr. 14, jud. Argeș</w:t>
            </w:r>
          </w:p>
          <w:p w:rsidR="00EE3662" w:rsidRPr="00926C4F" w:rsidRDefault="00EE3662" w:rsidP="00E765F9">
            <w:pPr>
              <w:jc w:val="center"/>
            </w:pPr>
            <w:r>
              <w:rPr>
                <w:sz w:val="22"/>
                <w:szCs w:val="22"/>
              </w:rPr>
              <w:t>Suprafață 2CC = 2414</w:t>
            </w:r>
            <w:r w:rsidRPr="00926C4F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559" w:type="dxa"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225.342,91</w:t>
            </w:r>
          </w:p>
        </w:tc>
        <w:tc>
          <w:tcPr>
            <w:tcW w:w="1418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662" w:rsidRPr="00926C4F" w:rsidRDefault="00EE3662" w:rsidP="00E765F9">
            <w:pPr>
              <w:jc w:val="center"/>
            </w:pPr>
          </w:p>
        </w:tc>
      </w:tr>
    </w:tbl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Pr="001A143E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Pr="001A143E" w:rsidRDefault="00EE3662" w:rsidP="00EE3662">
      <w:pPr>
        <w:jc w:val="right"/>
        <w:rPr>
          <w:i/>
          <w:color w:val="FF0000"/>
          <w:sz w:val="28"/>
          <w:szCs w:val="28"/>
        </w:rPr>
      </w:pPr>
    </w:p>
    <w:p w:rsidR="00EE3662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Pr="00F840C9" w:rsidRDefault="00EE3662" w:rsidP="00EE3662">
      <w:pPr>
        <w:jc w:val="right"/>
        <w:rPr>
          <w:color w:val="FF0000"/>
          <w:sz w:val="22"/>
          <w:szCs w:val="22"/>
        </w:rPr>
      </w:pPr>
    </w:p>
    <w:p w:rsidR="00EE3662" w:rsidRDefault="00EE3662" w:rsidP="00EE3662">
      <w:pPr>
        <w:rPr>
          <w:sz w:val="26"/>
          <w:szCs w:val="26"/>
        </w:rPr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8E4FBF" w:rsidRDefault="00EE3662" w:rsidP="008E4FBF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8E4FBF" w:rsidRPr="008E4FBF">
        <w:rPr>
          <w:b/>
          <w:lang w:val="fr-FR"/>
        </w:rPr>
        <w:t xml:space="preserve"> </w:t>
      </w:r>
      <w:r w:rsidR="008E4FBF">
        <w:rPr>
          <w:b/>
          <w:lang w:val="fr-FR"/>
        </w:rPr>
        <w:t>nr</w:t>
      </w:r>
      <w:r w:rsidR="008E4FBF" w:rsidRPr="00BA62DC">
        <w:rPr>
          <w:b/>
          <w:lang w:val="fr-FR"/>
        </w:rPr>
        <w:t>.</w:t>
      </w:r>
      <w:r w:rsidR="008E4FBF">
        <w:rPr>
          <w:b/>
        </w:rPr>
        <w:t>164/23.04.2025</w:t>
      </w:r>
    </w:p>
    <w:p w:rsidR="00EE3662" w:rsidRDefault="00EE3662" w:rsidP="008E4FBF">
      <w:pPr>
        <w:tabs>
          <w:tab w:val="left" w:pos="1663"/>
        </w:tabs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EE3662" w:rsidRDefault="00EE3662" w:rsidP="00EE3662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EE3662" w:rsidRPr="00644B68" w:rsidRDefault="00EE3662" w:rsidP="00EE3662">
      <w:pPr>
        <w:jc w:val="center"/>
        <w:rPr>
          <w:b/>
          <w:sz w:val="22"/>
          <w:szCs w:val="22"/>
        </w:rPr>
      </w:pPr>
    </w:p>
    <w:p w:rsidR="00EE3662" w:rsidRDefault="00EE3662" w:rsidP="00EE3662">
      <w:pPr>
        <w:rPr>
          <w:rStyle w:val="ln2tparagraf"/>
          <w:b/>
          <w:lang w:val="fr-FR"/>
        </w:rPr>
      </w:pPr>
    </w:p>
    <w:p w:rsidR="00EE3662" w:rsidRDefault="00EE3662" w:rsidP="00EE3662">
      <w:pPr>
        <w:rPr>
          <w:rStyle w:val="ln2tparagraf"/>
          <w:b/>
          <w:lang w:val="fr-FR"/>
        </w:rPr>
      </w:pPr>
    </w:p>
    <w:p w:rsidR="00EE3662" w:rsidRDefault="00EE3662" w:rsidP="00EE3662">
      <w:pPr>
        <w:rPr>
          <w:rStyle w:val="ln2tparagraf"/>
          <w:b/>
          <w:lang w:val="fr-FR"/>
        </w:rPr>
      </w:pPr>
    </w:p>
    <w:p w:rsidR="00EE3662" w:rsidRPr="00626216" w:rsidRDefault="00EE3662" w:rsidP="00EE3662">
      <w:pPr>
        <w:rPr>
          <w:rStyle w:val="ln2tparagraf"/>
          <w:b/>
          <w:lang w:val="fr-FR"/>
        </w:rPr>
      </w:pPr>
    </w:p>
    <w:p w:rsidR="00EE3662" w:rsidRPr="00626216" w:rsidRDefault="00EE3662" w:rsidP="00EE3662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EE3662" w:rsidRDefault="00EE3662" w:rsidP="00EE3662">
      <w:pPr>
        <w:jc w:val="both"/>
        <w:rPr>
          <w:lang w:val="fr-FR"/>
        </w:rPr>
      </w:pPr>
    </w:p>
    <w:p w:rsidR="00EE3662" w:rsidRPr="001E7748" w:rsidRDefault="00EE3662" w:rsidP="00EE3662">
      <w:pPr>
        <w:jc w:val="both"/>
        <w:rPr>
          <w:lang w:val="fr-FR"/>
        </w:rPr>
      </w:pPr>
    </w:p>
    <w:p w:rsidR="00EE3662" w:rsidRPr="001E7748" w:rsidRDefault="00EE3662" w:rsidP="00EE3662">
      <w:pPr>
        <w:jc w:val="both"/>
        <w:rPr>
          <w:lang w:val="fr-FR"/>
        </w:rPr>
      </w:pPr>
    </w:p>
    <w:p w:rsidR="00EE3662" w:rsidRPr="001E7748" w:rsidRDefault="00EE3662" w:rsidP="00EE3662">
      <w:pPr>
        <w:jc w:val="both"/>
        <w:rPr>
          <w:lang w:val="fr-FR"/>
        </w:rPr>
      </w:pPr>
    </w:p>
    <w:p w:rsidR="00EE3662" w:rsidRPr="001E7748" w:rsidRDefault="00EE3662" w:rsidP="00EE3662">
      <w:pPr>
        <w:spacing w:before="100" w:beforeAutospacing="1" w:after="100" w:afterAutospacing="1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EE3662" w:rsidRPr="001E7748" w:rsidRDefault="00EE3662" w:rsidP="00EE3662">
      <w:pPr>
        <w:spacing w:before="100" w:beforeAutospacing="1" w:after="100" w:afterAutospacing="1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EE3662" w:rsidRPr="001E7748" w:rsidRDefault="00EE3662" w:rsidP="00EE3662">
      <w:pPr>
        <w:spacing w:before="100" w:beforeAutospacing="1" w:after="100" w:afterAutospacing="1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EE3662" w:rsidRPr="008E4FBF" w:rsidRDefault="00EE3662" w:rsidP="00EE3662">
      <w:pPr>
        <w:spacing w:before="100" w:beforeAutospacing="1" w:after="100" w:afterAutospacing="1"/>
        <w:ind w:firstLine="709"/>
        <w:jc w:val="both"/>
        <w:rPr>
          <w:rStyle w:val="ln2tpunct"/>
          <w:b/>
          <w:lang w:val="en-US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8E4FBF">
        <w:rPr>
          <w:rStyle w:val="ln2tpunct"/>
          <w:lang w:val="en-US"/>
        </w:rPr>
        <w:t>în</w:t>
      </w:r>
      <w:proofErr w:type="spellEnd"/>
      <w:r w:rsidRPr="008E4FBF">
        <w:rPr>
          <w:rStyle w:val="ln2tpunct"/>
          <w:lang w:val="en-US"/>
        </w:rPr>
        <w:t xml:space="preserve"> </w:t>
      </w:r>
      <w:proofErr w:type="spellStart"/>
      <w:r w:rsidRPr="008E4FBF">
        <w:rPr>
          <w:rStyle w:val="ln2tpunct"/>
          <w:lang w:val="en-US"/>
        </w:rPr>
        <w:t>calitate</w:t>
      </w:r>
      <w:proofErr w:type="spellEnd"/>
      <w:r w:rsidRPr="008E4FBF">
        <w:rPr>
          <w:rStyle w:val="ln2tpunct"/>
          <w:lang w:val="en-US"/>
        </w:rPr>
        <w:t xml:space="preserve"> de administrator,</w:t>
      </w:r>
    </w:p>
    <w:p w:rsidR="00EE3662" w:rsidRPr="008E4FBF" w:rsidRDefault="00EE3662" w:rsidP="00EE3662">
      <w:pPr>
        <w:spacing w:before="100" w:beforeAutospacing="1" w:after="100" w:afterAutospacing="1"/>
        <w:jc w:val="both"/>
        <w:rPr>
          <w:rStyle w:val="ln2punct1"/>
          <w:bCs w:val="0"/>
          <w:lang w:val="en-US"/>
        </w:rPr>
      </w:pPr>
    </w:p>
    <w:p w:rsidR="00EE3662" w:rsidRPr="008E4FBF" w:rsidRDefault="00EE3662" w:rsidP="00EE3662">
      <w:pPr>
        <w:spacing w:before="100" w:beforeAutospacing="1" w:after="100" w:afterAutospacing="1"/>
        <w:ind w:firstLine="720"/>
        <w:jc w:val="both"/>
      </w:pPr>
      <w:r w:rsidRPr="008E4FBF">
        <w:rPr>
          <w:rStyle w:val="ln2punct1"/>
          <w:lang w:val="en-US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8E4FBF">
        <w:t>și al Hotărârii Consiliului Județean Argeș nr. …………………, părțile au convenit la încheierea prezentului contract de administrare.</w:t>
      </w:r>
    </w:p>
    <w:p w:rsidR="00EE3662" w:rsidRPr="001F2668" w:rsidRDefault="00EE3662" w:rsidP="00EE3662">
      <w:pPr>
        <w:spacing w:before="100" w:beforeAutospacing="1" w:after="100" w:afterAutospacing="1"/>
        <w:ind w:firstLine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II. </w:t>
      </w:r>
      <w:proofErr w:type="spellStart"/>
      <w:r w:rsidRPr="001F2668">
        <w:rPr>
          <w:b/>
          <w:i/>
          <w:u w:val="single"/>
          <w:lang w:val="fr-FR"/>
        </w:rPr>
        <w:t>Obiectul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>:</w:t>
      </w:r>
    </w:p>
    <w:p w:rsidR="00EE3662" w:rsidRPr="008E4FBF" w:rsidRDefault="00EE3662" w:rsidP="00EE3662">
      <w:pPr>
        <w:spacing w:before="100" w:beforeAutospacing="1" w:after="100" w:afterAutospacing="1"/>
        <w:ind w:firstLine="709"/>
        <w:jc w:val="both"/>
      </w:pPr>
      <w:r w:rsidRPr="00873F41">
        <w:rPr>
          <w:lang w:val="fr-FR"/>
        </w:rPr>
        <w:t xml:space="preserve">1. </w:t>
      </w:r>
      <w:proofErr w:type="spellStart"/>
      <w:r w:rsidRPr="00873F41">
        <w:rPr>
          <w:lang w:val="fr-FR"/>
        </w:rPr>
        <w:t>Prezentul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contract</w:t>
      </w:r>
      <w:proofErr w:type="spellEnd"/>
      <w:r w:rsidRPr="00873F41">
        <w:rPr>
          <w:lang w:val="fr-FR"/>
        </w:rPr>
        <w:t xml:space="preserve"> are ca </w:t>
      </w:r>
      <w:proofErr w:type="spellStart"/>
      <w:r w:rsidRPr="00873F41">
        <w:rPr>
          <w:lang w:val="fr-FR"/>
        </w:rPr>
        <w:t>obiect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constituirea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dreptului</w:t>
      </w:r>
      <w:proofErr w:type="spellEnd"/>
      <w:r w:rsidRPr="00873F41">
        <w:rPr>
          <w:lang w:val="fr-FR"/>
        </w:rPr>
        <w:t xml:space="preserve"> </w:t>
      </w:r>
      <w:proofErr w:type="gramStart"/>
      <w:r w:rsidRPr="00873F41">
        <w:rPr>
          <w:lang w:val="fr-FR"/>
        </w:rPr>
        <w:t xml:space="preserve">de </w:t>
      </w:r>
      <w:proofErr w:type="spellStart"/>
      <w:r w:rsidRPr="00873F41">
        <w:rPr>
          <w:lang w:val="fr-FR"/>
        </w:rPr>
        <w:t>administrare</w:t>
      </w:r>
      <w:proofErr w:type="spellEnd"/>
      <w:proofErr w:type="gram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în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favoarea</w:t>
      </w:r>
      <w:proofErr w:type="spellEnd"/>
      <w:r w:rsidRPr="00873F41">
        <w:rPr>
          <w:lang w:val="fr-FR"/>
        </w:rPr>
        <w:t xml:space="preserve"> D.G.A.S.P.C. </w:t>
      </w:r>
      <w:proofErr w:type="spellStart"/>
      <w:r w:rsidRPr="00873F41">
        <w:rPr>
          <w:lang w:val="fr-FR"/>
        </w:rPr>
        <w:t>Arge</w:t>
      </w:r>
      <w:proofErr w:type="spellEnd"/>
      <w:r w:rsidRPr="00873F41">
        <w:rPr>
          <w:lang w:val="fr-FR"/>
        </w:rPr>
        <w:t xml:space="preserve">ș </w:t>
      </w:r>
      <w:proofErr w:type="spellStart"/>
      <w:r w:rsidRPr="00873F41">
        <w:rPr>
          <w:lang w:val="fr-FR"/>
        </w:rPr>
        <w:t>asupra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bunurilor</w:t>
      </w:r>
      <w:proofErr w:type="spellEnd"/>
      <w:r w:rsidRPr="00873F41">
        <w:rPr>
          <w:lang w:val="fr-FR"/>
        </w:rPr>
        <w:t xml:space="preserve"> </w:t>
      </w:r>
      <w:proofErr w:type="spellStart"/>
      <w:r w:rsidRPr="00873F41">
        <w:rPr>
          <w:lang w:val="fr-FR"/>
        </w:rPr>
        <w:t>imobile</w:t>
      </w:r>
      <w:proofErr w:type="spellEnd"/>
      <w:r w:rsidRPr="00873F41">
        <w:rPr>
          <w:lang w:val="fr-FR"/>
        </w:rPr>
        <w:t xml:space="preserve"> </w:t>
      </w:r>
      <w:r>
        <w:rPr>
          <w:i/>
        </w:rPr>
        <w:t>Centrul de Zi,</w:t>
      </w:r>
      <w:r w:rsidRPr="006D772D">
        <w:rPr>
          <w:i/>
        </w:rPr>
        <w:t xml:space="preserve"> Casă de tip familial nr. 1</w:t>
      </w:r>
      <w:r>
        <w:t xml:space="preserve">, </w:t>
      </w:r>
      <w:r w:rsidRPr="006D772D">
        <w:rPr>
          <w:i/>
        </w:rPr>
        <w:t>Casă de tip familial nr. 2</w:t>
      </w:r>
      <w:r w:rsidRPr="00873F41">
        <w:rPr>
          <w:i/>
        </w:rPr>
        <w:t xml:space="preserve">, </w:t>
      </w:r>
      <w:r>
        <w:rPr>
          <w:i/>
        </w:rPr>
        <w:t xml:space="preserve">Împrejmuire gard și Teren, </w:t>
      </w:r>
      <w:r w:rsidRPr="00873F41">
        <w:rPr>
          <w:rStyle w:val="Strong"/>
        </w:rPr>
        <w:t xml:space="preserve">situate în </w:t>
      </w:r>
      <w:r w:rsidRPr="004C6227">
        <w:rPr>
          <w:rStyle w:val="Strong"/>
        </w:rPr>
        <w:t xml:space="preserve">Câmpulung, </w:t>
      </w:r>
      <w:r w:rsidRPr="004C6227">
        <w:t>str. Revoluției, nr. 14,</w:t>
      </w:r>
      <w:r w:rsidRPr="004C6227">
        <w:rPr>
          <w:rStyle w:val="Strong"/>
        </w:rPr>
        <w:t xml:space="preserve"> județul Arge</w:t>
      </w:r>
      <w:r>
        <w:rPr>
          <w:rStyle w:val="Strong"/>
        </w:rPr>
        <w:t xml:space="preserve">ș - CF nr. </w:t>
      </w:r>
      <w:r w:rsidRPr="00926C4F">
        <w:rPr>
          <w:color w:val="000000"/>
          <w:sz w:val="22"/>
          <w:szCs w:val="22"/>
        </w:rPr>
        <w:t>85984</w:t>
      </w:r>
      <w:r>
        <w:rPr>
          <w:rStyle w:val="Strong"/>
        </w:rPr>
        <w:t xml:space="preserve"> Câmpulung</w:t>
      </w:r>
      <w:r w:rsidRPr="006D772D">
        <w:rPr>
          <w:rStyle w:val="Strong"/>
        </w:rPr>
        <w:t xml:space="preserve">, </w:t>
      </w:r>
      <w:r w:rsidRPr="006D772D">
        <w:t xml:space="preserve">în scopul înființării </w:t>
      </w:r>
      <w:r w:rsidRPr="006D772D">
        <w:rPr>
          <w:i/>
        </w:rPr>
        <w:t>Complexului de</w:t>
      </w:r>
      <w:r>
        <w:rPr>
          <w:i/>
        </w:rPr>
        <w:t xml:space="preserve"> Servicii Sociale, Mun. Câmpulung</w:t>
      </w:r>
      <w:r w:rsidRPr="006D772D">
        <w:rPr>
          <w:i/>
        </w:rPr>
        <w:t>, județul Argeș</w:t>
      </w:r>
      <w:r w:rsidRPr="00873F41">
        <w:rPr>
          <w:i/>
        </w:rPr>
        <w:t>,</w:t>
      </w:r>
      <w:r w:rsidRPr="008E4FBF">
        <w:t xml:space="preserve"> identificate conform Anexelor nr. 1 și nr. 2, p</w:t>
      </w:r>
      <w:r w:rsidRPr="00873F41">
        <w:t>ărți</w:t>
      </w:r>
      <w:r w:rsidRPr="008E4FBF">
        <w:t xml:space="preserve"> integrante din Hotărârea Consiliului Județean Argeș nr.  ……………………….</w:t>
      </w:r>
    </w:p>
    <w:p w:rsidR="00EE3662" w:rsidRPr="00375A47" w:rsidRDefault="00EE3662" w:rsidP="00EE3662">
      <w:pPr>
        <w:spacing w:before="100" w:beforeAutospacing="1" w:after="100" w:afterAutospacing="1"/>
        <w:ind w:firstLine="708"/>
        <w:jc w:val="both"/>
      </w:pPr>
      <w:r w:rsidRPr="00375A47">
        <w:rPr>
          <w:lang w:val="es-MX"/>
        </w:rPr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EE3662" w:rsidRPr="00375A47" w:rsidRDefault="00EE3662" w:rsidP="00EE3662">
      <w:pPr>
        <w:spacing w:before="100" w:beforeAutospacing="1" w:after="100" w:afterAutospacing="1"/>
        <w:jc w:val="both"/>
        <w:rPr>
          <w:b/>
          <w:i/>
          <w:color w:val="FF0000"/>
          <w:u w:val="single"/>
          <w:lang w:val="fr-FR"/>
        </w:rPr>
      </w:pPr>
    </w:p>
    <w:p w:rsidR="00EE3662" w:rsidRPr="001F2668" w:rsidRDefault="00EE3662" w:rsidP="00EE3662">
      <w:pPr>
        <w:spacing w:before="100" w:beforeAutospacing="1" w:after="100" w:afterAutospacing="1"/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EE3662" w:rsidRDefault="00EE3662" w:rsidP="00EE3662">
      <w:pPr>
        <w:spacing w:before="100" w:beforeAutospacing="1" w:after="100" w:afterAutospacing="1"/>
        <w:ind w:firstLine="720"/>
        <w:jc w:val="both"/>
        <w:rPr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EE3662" w:rsidRPr="001F2668" w:rsidRDefault="00EE3662" w:rsidP="00EE3662">
      <w:pPr>
        <w:spacing w:before="100" w:beforeAutospacing="1" w:after="100" w:afterAutospacing="1"/>
        <w:ind w:firstLine="720"/>
        <w:jc w:val="both"/>
        <w:rPr>
          <w:b/>
          <w:lang w:val="fr-FR"/>
        </w:rPr>
      </w:pPr>
    </w:p>
    <w:p w:rsidR="00EE3662" w:rsidRPr="001F2668" w:rsidRDefault="00EE3662" w:rsidP="00EE3662">
      <w:pPr>
        <w:spacing w:before="100" w:beforeAutospacing="1" w:after="100" w:afterAutospacing="1"/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EE3662" w:rsidRPr="001F2668" w:rsidRDefault="00EE3662" w:rsidP="00EE3662">
      <w:pPr>
        <w:spacing w:before="100" w:beforeAutospacing="1" w:after="100" w:afterAutospacing="1"/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EE3662" w:rsidRPr="001F2668" w:rsidRDefault="00EE3662" w:rsidP="00EE3662">
      <w:pPr>
        <w:spacing w:before="100" w:beforeAutospacing="1" w:after="100" w:afterAutospacing="1"/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ș,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</w:t>
      </w:r>
      <w:proofErr w:type="gramStart"/>
      <w:r w:rsidRPr="001F2668">
        <w:rPr>
          <w:lang w:val="fr-FR"/>
        </w:rPr>
        <w:t>sa</w:t>
      </w:r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EE3662" w:rsidRPr="001F2668" w:rsidRDefault="00EE3662" w:rsidP="00EE3662">
      <w:pPr>
        <w:spacing w:before="100" w:beforeAutospacing="1" w:after="100" w:afterAutospacing="1"/>
        <w:ind w:firstLine="540"/>
        <w:jc w:val="both"/>
      </w:pPr>
      <w:r w:rsidRPr="001F2668">
        <w:t xml:space="preserve">    1.2. Să nu tulbure administratorul în exercitarea drepturilor prevăzute în prezentul contract;</w:t>
      </w:r>
    </w:p>
    <w:p w:rsidR="00EE3662" w:rsidRPr="001F2668" w:rsidRDefault="00EE3662" w:rsidP="00EE3662">
      <w:pPr>
        <w:spacing w:before="100" w:beforeAutospacing="1" w:after="100" w:afterAutospacing="1"/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EE3662" w:rsidRPr="00292002" w:rsidRDefault="00EE3662" w:rsidP="00EE3662">
      <w:pPr>
        <w:spacing w:before="100" w:beforeAutospacing="1" w:after="100" w:afterAutospacing="1"/>
        <w:jc w:val="both"/>
      </w:pP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  <w:rPr>
          <w:b/>
          <w:lang w:val="fr-FR"/>
        </w:rPr>
      </w:pPr>
      <w:r w:rsidRPr="008E4FBF">
        <w:rPr>
          <w:b/>
        </w:rPr>
        <w:t xml:space="preserve"> </w:t>
      </w:r>
      <w:r w:rsidRPr="008E4FBF">
        <w:rPr>
          <w:b/>
        </w:rPr>
        <w:tab/>
      </w:r>
      <w:r w:rsidRPr="00292002">
        <w:rPr>
          <w:b/>
          <w:lang w:val="fr-FR"/>
        </w:rPr>
        <w:t xml:space="preserve">2. </w:t>
      </w:r>
      <w:proofErr w:type="spellStart"/>
      <w:r w:rsidRPr="00292002">
        <w:rPr>
          <w:b/>
          <w:lang w:val="fr-FR"/>
        </w:rPr>
        <w:t>Administratorul</w:t>
      </w:r>
      <w:proofErr w:type="spellEnd"/>
      <w:r w:rsidRPr="00292002">
        <w:rPr>
          <w:b/>
          <w:lang w:val="fr-FR"/>
        </w:rPr>
        <w:t xml:space="preserve"> –  D.G.A.S.P.C. </w:t>
      </w:r>
      <w:proofErr w:type="spellStart"/>
      <w:r w:rsidRPr="00292002">
        <w:rPr>
          <w:b/>
          <w:lang w:val="fr-FR"/>
        </w:rPr>
        <w:t>Arge</w:t>
      </w:r>
      <w:proofErr w:type="spellEnd"/>
      <w:r w:rsidRPr="00292002">
        <w:rPr>
          <w:b/>
          <w:lang w:val="fr-FR"/>
        </w:rPr>
        <w:t xml:space="preserve">ș se </w:t>
      </w:r>
      <w:proofErr w:type="spellStart"/>
      <w:r w:rsidRPr="00292002">
        <w:rPr>
          <w:b/>
          <w:lang w:val="fr-FR"/>
        </w:rPr>
        <w:t>obligă</w:t>
      </w:r>
      <w:proofErr w:type="spellEnd"/>
      <w:r w:rsidRPr="00292002">
        <w:rPr>
          <w:b/>
          <w:lang w:val="fr-FR"/>
        </w:rPr>
        <w:t>:</w:t>
      </w: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 w:rsidRPr="00292002">
        <w:rPr>
          <w:lang w:val="fr-FR"/>
        </w:rPr>
        <w:t>bunurilor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EE3662" w:rsidRPr="00292002" w:rsidRDefault="00EE3662" w:rsidP="00EE3662">
      <w:pPr>
        <w:spacing w:before="100" w:beforeAutospacing="1" w:after="100" w:afterAutospacing="1"/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8E4FBF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</w:pPr>
      <w:r w:rsidRPr="00292002">
        <w:t xml:space="preserve">    2.4. Să exploateze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r w:rsidRPr="00292002">
        <w:t>date în administrare ca un bun administrator, evitând distrugerea, degradarea sau deteriorarea lor;</w:t>
      </w: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</w:pPr>
      <w:r w:rsidRPr="00292002">
        <w:rPr>
          <w:lang w:val="fr-FR"/>
        </w:rPr>
        <w:t xml:space="preserve">    2.5.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restituie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proprietarului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date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administrare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de </w:t>
      </w:r>
      <w:proofErr w:type="spellStart"/>
      <w:r w:rsidRPr="00292002">
        <w:rPr>
          <w:lang w:val="fr-FR"/>
        </w:rPr>
        <w:t>administrare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au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predate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acestora</w:t>
      </w:r>
      <w:proofErr w:type="spellEnd"/>
      <w:r w:rsidRPr="00292002">
        <w:rPr>
          <w:lang w:val="fr-FR"/>
        </w:rPr>
        <w:t xml:space="preserve">, </w:t>
      </w:r>
      <w:proofErr w:type="spellStart"/>
      <w:r w:rsidRPr="00292002">
        <w:rPr>
          <w:lang w:val="fr-FR"/>
        </w:rPr>
        <w:t>libere</w:t>
      </w:r>
      <w:proofErr w:type="spellEnd"/>
      <w:r w:rsidRPr="00292002">
        <w:rPr>
          <w:lang w:val="fr-FR"/>
        </w:rPr>
        <w:t xml:space="preserve"> </w:t>
      </w:r>
      <w:proofErr w:type="gramStart"/>
      <w:r w:rsidRPr="00292002">
        <w:rPr>
          <w:lang w:val="fr-FR"/>
        </w:rPr>
        <w:t xml:space="preserve">de </w:t>
      </w:r>
      <w:proofErr w:type="spellStart"/>
      <w:r w:rsidRPr="00292002">
        <w:rPr>
          <w:lang w:val="fr-FR"/>
        </w:rPr>
        <w:t>orice</w:t>
      </w:r>
      <w:proofErr w:type="spellEnd"/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sarcini</w:t>
      </w:r>
      <w:proofErr w:type="spellEnd"/>
      <w:r w:rsidRPr="00292002">
        <w:t>.</w:t>
      </w:r>
    </w:p>
    <w:p w:rsidR="00EE3662" w:rsidRDefault="00EE3662" w:rsidP="00EE3662">
      <w:pPr>
        <w:spacing w:before="100" w:beforeAutospacing="1" w:after="100" w:afterAutospacing="1"/>
        <w:ind w:firstLine="540"/>
        <w:jc w:val="both"/>
      </w:pPr>
      <w:r w:rsidRPr="00292002">
        <w:t xml:space="preserve">    2.6. Să procedeze la înscrierea în cartea funciară</w:t>
      </w:r>
      <w:r>
        <w:t xml:space="preserve"> a dreptului de administrare.  </w:t>
      </w:r>
    </w:p>
    <w:p w:rsidR="00EE3662" w:rsidRPr="00292002" w:rsidRDefault="00EE3662" w:rsidP="00EE3662">
      <w:pPr>
        <w:spacing w:before="100" w:beforeAutospacing="1" w:after="100" w:afterAutospacing="1"/>
        <w:jc w:val="both"/>
      </w:pPr>
    </w:p>
    <w:p w:rsidR="00EE3662" w:rsidRPr="008E4FBF" w:rsidRDefault="00EE3662" w:rsidP="00EE3662">
      <w:pPr>
        <w:spacing w:before="100" w:beforeAutospacing="1" w:after="100" w:afterAutospacing="1"/>
        <w:ind w:firstLine="709"/>
        <w:jc w:val="both"/>
        <w:rPr>
          <w:b/>
        </w:rPr>
      </w:pPr>
      <w:r w:rsidRPr="008E4FBF">
        <w:rPr>
          <w:b/>
        </w:rPr>
        <w:t>3. Drepturile proprietarului:</w:t>
      </w:r>
    </w:p>
    <w:p w:rsidR="00EE3662" w:rsidRPr="008E4FBF" w:rsidRDefault="00EE3662" w:rsidP="00EE3662">
      <w:pPr>
        <w:spacing w:before="100" w:beforeAutospacing="1" w:after="100" w:afterAutospacing="1"/>
        <w:ind w:firstLine="709"/>
        <w:jc w:val="both"/>
      </w:pPr>
      <w:r w:rsidRPr="008E4FBF">
        <w:t>3.1. Să urmărească îndeplinirea obligaţiilor asumate de către administrator prin prezentul contract;</w:t>
      </w:r>
    </w:p>
    <w:p w:rsidR="00EE3662" w:rsidRPr="00292002" w:rsidRDefault="00EE3662" w:rsidP="00EE3662">
      <w:pPr>
        <w:spacing w:before="100" w:beforeAutospacing="1" w:after="100" w:afterAutospacing="1"/>
        <w:ind w:firstLine="709"/>
        <w:jc w:val="both"/>
      </w:pPr>
      <w:r w:rsidRPr="00292002">
        <w:lastRenderedPageBreak/>
        <w:t xml:space="preserve">3.2. Să inspecteze </w:t>
      </w:r>
      <w:r w:rsidRPr="008E4FBF">
        <w:t xml:space="preserve">bunurile imobile </w:t>
      </w:r>
      <w:r w:rsidRPr="00292002">
        <w:t>administrate;</w:t>
      </w:r>
    </w:p>
    <w:p w:rsidR="00EE3662" w:rsidRPr="00292002" w:rsidRDefault="00EE3662" w:rsidP="00EE3662">
      <w:pPr>
        <w:spacing w:before="100" w:beforeAutospacing="1" w:after="100" w:afterAutospacing="1"/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EE3662" w:rsidRPr="00292002" w:rsidRDefault="00EE3662" w:rsidP="00EE3662">
      <w:pPr>
        <w:spacing w:before="100" w:beforeAutospacing="1" w:after="100" w:afterAutospacing="1"/>
        <w:ind w:firstLine="540"/>
        <w:jc w:val="both"/>
        <w:rPr>
          <w:lang w:val="fr-FR"/>
        </w:rPr>
      </w:pPr>
      <w:r w:rsidRPr="008E4FBF">
        <w:t xml:space="preserve">   </w:t>
      </w:r>
      <w:r w:rsidRPr="00292002">
        <w:rPr>
          <w:lang w:val="fr-FR"/>
        </w:rPr>
        <w:t xml:space="preserve">3.4.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proofErr w:type="gramStart"/>
      <w:r w:rsidRPr="00292002">
        <w:rPr>
          <w:lang w:val="fr-FR"/>
        </w:rPr>
        <w:t>primească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au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predate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</w:t>
      </w:r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acestora</w:t>
      </w:r>
      <w:proofErr w:type="spellEnd"/>
      <w:r w:rsidRPr="00292002">
        <w:rPr>
          <w:lang w:val="fr-FR"/>
        </w:rPr>
        <w:t>.</w:t>
      </w:r>
    </w:p>
    <w:p w:rsidR="00EE3662" w:rsidRDefault="00EE3662" w:rsidP="00EE3662">
      <w:pPr>
        <w:spacing w:before="100" w:beforeAutospacing="1" w:after="100" w:afterAutospacing="1"/>
        <w:ind w:firstLine="720"/>
        <w:jc w:val="both"/>
        <w:rPr>
          <w:b/>
        </w:rPr>
      </w:pPr>
    </w:p>
    <w:p w:rsidR="00EE3662" w:rsidRDefault="00EE3662" w:rsidP="00EE3662">
      <w:pPr>
        <w:spacing w:before="100" w:beforeAutospacing="1" w:after="100" w:afterAutospacing="1"/>
        <w:jc w:val="both"/>
        <w:rPr>
          <w:b/>
        </w:rPr>
      </w:pPr>
    </w:p>
    <w:p w:rsidR="00EE3662" w:rsidRPr="00292002" w:rsidRDefault="00EE3662" w:rsidP="00EE3662">
      <w:pPr>
        <w:spacing w:before="100" w:beforeAutospacing="1" w:after="100" w:afterAutospacing="1"/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EE3662" w:rsidRPr="00292002" w:rsidRDefault="00EE3662" w:rsidP="00EE3662">
      <w:pPr>
        <w:spacing w:before="100" w:beforeAutospacing="1" w:after="100" w:afterAutospacing="1"/>
        <w:ind w:firstLine="720"/>
        <w:jc w:val="both"/>
      </w:pPr>
      <w:r w:rsidRPr="00292002">
        <w:t xml:space="preserve">4.1. Să administreze </w:t>
      </w:r>
      <w:r w:rsidRPr="008E4FBF">
        <w:t>bunurile imobile</w:t>
      </w:r>
      <w:r w:rsidRPr="00292002">
        <w:t xml:space="preserve"> în condiţiile legii și în concordanță cu art. 2 din prezentul contract.</w:t>
      </w:r>
    </w:p>
    <w:p w:rsidR="00EE3662" w:rsidRPr="00375A47" w:rsidRDefault="00EE3662" w:rsidP="00EE3662">
      <w:pPr>
        <w:spacing w:before="100" w:beforeAutospacing="1" w:after="100" w:afterAutospacing="1"/>
        <w:jc w:val="both"/>
        <w:rPr>
          <w:color w:val="FF0000"/>
        </w:rPr>
      </w:pPr>
    </w:p>
    <w:p w:rsidR="00EE3662" w:rsidRPr="008E4FBF" w:rsidRDefault="00EE3662" w:rsidP="00EE3662">
      <w:pPr>
        <w:spacing w:before="100" w:beforeAutospacing="1" w:after="100" w:afterAutospacing="1"/>
        <w:jc w:val="both"/>
        <w:rPr>
          <w:i/>
          <w:u w:val="single"/>
        </w:rPr>
      </w:pPr>
      <w:r w:rsidRPr="008E4FBF">
        <w:rPr>
          <w:i/>
        </w:rPr>
        <w:t xml:space="preserve">            </w:t>
      </w:r>
      <w:r w:rsidRPr="008E4FBF">
        <w:rPr>
          <w:b/>
          <w:i/>
          <w:u w:val="single"/>
        </w:rPr>
        <w:t>V. Cesiunea contractului</w:t>
      </w:r>
      <w:r w:rsidRPr="008E4FBF">
        <w:rPr>
          <w:i/>
          <w:u w:val="single"/>
        </w:rPr>
        <w:t>: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lang w:val="fr-FR"/>
        </w:rPr>
      </w:pPr>
      <w:r w:rsidRPr="008E4FBF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lang w:val="fr-FR"/>
        </w:rPr>
      </w:pPr>
    </w:p>
    <w:p w:rsidR="00EE3662" w:rsidRPr="0019404D" w:rsidRDefault="00EE3662" w:rsidP="00EE3662">
      <w:pPr>
        <w:spacing w:before="100" w:beforeAutospacing="1" w:after="100" w:afterAutospacing="1"/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EE3662" w:rsidRPr="0019404D" w:rsidRDefault="00EE3662" w:rsidP="00EE3662">
      <w:pPr>
        <w:pStyle w:val="ListParagraph"/>
        <w:spacing w:before="100" w:beforeAutospacing="1" w:after="100" w:afterAutospacing="1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</w:pPr>
      <w:r w:rsidRPr="0019404D">
        <w:t>4. Prin revocarea dreptului de administrare;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lang w:val="fr-FR"/>
        </w:rPr>
      </w:pPr>
      <w:r w:rsidRPr="0019404D"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</w:pPr>
    </w:p>
    <w:p w:rsidR="00EE3662" w:rsidRPr="008E4FBF" w:rsidRDefault="00EE3662" w:rsidP="00EE3662">
      <w:pPr>
        <w:spacing w:before="100" w:beforeAutospacing="1" w:after="100" w:afterAutospacing="1"/>
        <w:ind w:firstLine="708"/>
        <w:jc w:val="both"/>
        <w:rPr>
          <w:b/>
          <w:i/>
          <w:u w:val="single"/>
        </w:rPr>
      </w:pPr>
      <w:r w:rsidRPr="008E4FBF">
        <w:rPr>
          <w:b/>
          <w:i/>
          <w:u w:val="single"/>
        </w:rPr>
        <w:t>VII. Răspunderea contractuală:</w:t>
      </w:r>
    </w:p>
    <w:p w:rsidR="00EE3662" w:rsidRPr="008E4FBF" w:rsidRDefault="00EE3662" w:rsidP="00EE3662">
      <w:pPr>
        <w:spacing w:before="100" w:beforeAutospacing="1" w:after="100" w:afterAutospacing="1"/>
        <w:ind w:firstLine="708"/>
        <w:jc w:val="both"/>
      </w:pPr>
      <w:r w:rsidRPr="008E4FBF">
        <w:lastRenderedPageBreak/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EE3662" w:rsidRPr="008E4FBF" w:rsidRDefault="00EE3662" w:rsidP="00EE3662">
      <w:pPr>
        <w:spacing w:before="100" w:beforeAutospacing="1" w:after="100" w:afterAutospacing="1"/>
        <w:jc w:val="both"/>
      </w:pPr>
    </w:p>
    <w:p w:rsidR="00EE3662" w:rsidRPr="008E4FBF" w:rsidRDefault="00EE3662" w:rsidP="00EE3662">
      <w:pPr>
        <w:spacing w:before="100" w:beforeAutospacing="1" w:after="100" w:afterAutospacing="1"/>
        <w:ind w:firstLine="708"/>
        <w:jc w:val="both"/>
        <w:rPr>
          <w:i/>
          <w:u w:val="single"/>
        </w:rPr>
      </w:pPr>
      <w:r w:rsidRPr="008E4FBF">
        <w:rPr>
          <w:b/>
        </w:rPr>
        <w:t xml:space="preserve"> </w:t>
      </w:r>
      <w:r w:rsidRPr="008E4FBF">
        <w:rPr>
          <w:b/>
          <w:i/>
          <w:u w:val="single"/>
        </w:rPr>
        <w:t>VIII. Forța majoră</w:t>
      </w:r>
      <w:r w:rsidRPr="008E4FBF">
        <w:rPr>
          <w:i/>
          <w:u w:val="single"/>
        </w:rPr>
        <w:t>:</w:t>
      </w:r>
    </w:p>
    <w:p w:rsidR="00EE3662" w:rsidRPr="008E4FBF" w:rsidRDefault="00EE3662" w:rsidP="00EE3662">
      <w:pPr>
        <w:spacing w:before="100" w:beforeAutospacing="1" w:after="100" w:afterAutospacing="1"/>
        <w:ind w:firstLine="720"/>
        <w:jc w:val="both"/>
      </w:pPr>
      <w:r w:rsidRPr="008E4FBF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EE3662" w:rsidRPr="008E4FBF" w:rsidRDefault="00EE3662" w:rsidP="00EE3662">
      <w:pPr>
        <w:spacing w:before="100" w:beforeAutospacing="1" w:after="100" w:afterAutospacing="1"/>
        <w:jc w:val="both"/>
      </w:pPr>
    </w:p>
    <w:p w:rsidR="00EE3662" w:rsidRPr="008E4FBF" w:rsidRDefault="00EE3662" w:rsidP="00EE3662">
      <w:pPr>
        <w:spacing w:before="100" w:beforeAutospacing="1" w:after="100" w:afterAutospacing="1"/>
        <w:ind w:firstLine="708"/>
        <w:jc w:val="both"/>
      </w:pPr>
      <w:r w:rsidRPr="008E4FBF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</w:t>
      </w:r>
      <w:proofErr w:type="gramStart"/>
      <w:r w:rsidRPr="0019404D">
        <w:rPr>
          <w:lang w:val="fr-FR"/>
        </w:rPr>
        <w:t>a</w:t>
      </w:r>
      <w:proofErr w:type="gram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rStyle w:val="ln2punct1"/>
          <w:i/>
          <w:u w:val="single"/>
          <w:lang w:val="fr-FR"/>
        </w:rPr>
      </w:pP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rStyle w:val="ln2punct1"/>
          <w:i/>
          <w:u w:val="single"/>
          <w:lang w:val="fr-FR"/>
        </w:rPr>
      </w:pP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lastRenderedPageBreak/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EE3662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EE3662" w:rsidRPr="0019404D" w:rsidRDefault="00EE3662" w:rsidP="00EE3662">
      <w:pPr>
        <w:spacing w:before="100" w:beforeAutospacing="1" w:after="100" w:afterAutospacing="1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EE3662" w:rsidRPr="0019404D" w:rsidRDefault="00EE3662" w:rsidP="00EE3662">
      <w:pPr>
        <w:pStyle w:val="ListParagraph"/>
        <w:spacing w:before="100" w:beforeAutospacing="1" w:after="100" w:afterAutospacing="1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EE3662" w:rsidRPr="0019404D" w:rsidRDefault="00EE3662" w:rsidP="00EE3662">
      <w:pPr>
        <w:pStyle w:val="ListParagraph"/>
        <w:spacing w:before="100" w:beforeAutospacing="1" w:after="100" w:afterAutospacing="1" w:line="24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8E4FBF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i/>
          <w:lang w:val="fr-FR"/>
        </w:rPr>
      </w:pPr>
    </w:p>
    <w:p w:rsidR="00EE3662" w:rsidRPr="0019404D" w:rsidRDefault="00EE3662" w:rsidP="00EE3662">
      <w:pPr>
        <w:spacing w:before="100" w:beforeAutospacing="1" w:after="100" w:afterAutospacing="1"/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EE3662" w:rsidRPr="0019404D" w:rsidRDefault="00EE3662" w:rsidP="00EE3662">
      <w:pPr>
        <w:spacing w:before="100" w:beforeAutospacing="1" w:after="100" w:afterAutospacing="1"/>
        <w:jc w:val="both"/>
        <w:rPr>
          <w:rStyle w:val="ln2ttabel"/>
          <w:lang w:val="fr-FR"/>
        </w:rPr>
      </w:pPr>
    </w:p>
    <w:p w:rsidR="00EE3662" w:rsidRPr="0019404D" w:rsidRDefault="00EE3662" w:rsidP="00EE3662">
      <w:pPr>
        <w:jc w:val="both"/>
        <w:rPr>
          <w:rStyle w:val="ln2ttabel"/>
          <w:lang w:val="fr-FR"/>
        </w:rPr>
      </w:pPr>
    </w:p>
    <w:p w:rsidR="00EE3662" w:rsidRPr="008E4FBF" w:rsidRDefault="00EE3662" w:rsidP="00EE3662">
      <w:pPr>
        <w:ind w:firstLine="720"/>
        <w:jc w:val="both"/>
        <w:rPr>
          <w:b/>
          <w:sz w:val="22"/>
          <w:szCs w:val="22"/>
          <w:lang w:val="en-US"/>
        </w:rPr>
      </w:pPr>
      <w:r w:rsidRPr="008E4FBF">
        <w:rPr>
          <w:b/>
          <w:sz w:val="22"/>
          <w:szCs w:val="22"/>
          <w:u w:val="single"/>
          <w:lang w:val="en-US"/>
        </w:rPr>
        <w:t>PROPRIETAR</w:t>
      </w:r>
      <w:r w:rsidRPr="008E4FBF">
        <w:rPr>
          <w:b/>
          <w:sz w:val="22"/>
          <w:szCs w:val="22"/>
          <w:lang w:val="en-US"/>
        </w:rPr>
        <w:tab/>
      </w:r>
      <w:r w:rsidRPr="008E4FBF">
        <w:rPr>
          <w:b/>
          <w:sz w:val="22"/>
          <w:szCs w:val="22"/>
          <w:lang w:val="en-US"/>
        </w:rPr>
        <w:tab/>
      </w:r>
      <w:r w:rsidRPr="008E4FBF">
        <w:rPr>
          <w:b/>
          <w:sz w:val="22"/>
          <w:szCs w:val="22"/>
          <w:lang w:val="en-US"/>
        </w:rPr>
        <w:tab/>
      </w:r>
      <w:r w:rsidRPr="008E4FBF">
        <w:rPr>
          <w:b/>
          <w:sz w:val="22"/>
          <w:szCs w:val="22"/>
          <w:lang w:val="en-US"/>
        </w:rPr>
        <w:tab/>
      </w:r>
      <w:r w:rsidRPr="008E4FBF">
        <w:rPr>
          <w:b/>
          <w:sz w:val="22"/>
          <w:szCs w:val="22"/>
          <w:lang w:val="en-US"/>
        </w:rPr>
        <w:tab/>
        <w:t xml:space="preserve">           </w:t>
      </w:r>
      <w:r w:rsidRPr="008E4FBF">
        <w:rPr>
          <w:b/>
          <w:sz w:val="22"/>
          <w:szCs w:val="22"/>
          <w:u w:val="single"/>
          <w:lang w:val="en-US"/>
        </w:rPr>
        <w:t>ADMINISTRATOR</w:t>
      </w:r>
    </w:p>
    <w:p w:rsidR="00EE3662" w:rsidRPr="0019404D" w:rsidRDefault="00EE3662" w:rsidP="00EE3662">
      <w:pPr>
        <w:jc w:val="both"/>
        <w:rPr>
          <w:b/>
          <w:i/>
          <w:sz w:val="22"/>
          <w:szCs w:val="22"/>
        </w:rPr>
      </w:pPr>
      <w:r w:rsidRPr="008E4FBF">
        <w:rPr>
          <w:b/>
          <w:sz w:val="22"/>
          <w:szCs w:val="22"/>
          <w:lang w:val="en-US"/>
        </w:rPr>
        <w:t xml:space="preserve">          </w:t>
      </w:r>
      <w:r w:rsidRPr="008E4FBF">
        <w:rPr>
          <w:b/>
          <w:i/>
          <w:sz w:val="22"/>
          <w:szCs w:val="22"/>
          <w:lang w:val="en-US"/>
        </w:rPr>
        <w:t>JUDEȚUL ARGEȘ</w:t>
      </w:r>
      <w:r w:rsidRPr="008E4FBF">
        <w:rPr>
          <w:b/>
          <w:sz w:val="22"/>
          <w:szCs w:val="22"/>
          <w:lang w:val="en-US"/>
        </w:rPr>
        <w:tab/>
        <w:t xml:space="preserve">                                                            D.G.A.S.P.C. ARGEȘ</w:t>
      </w:r>
      <w:r w:rsidRPr="0019404D">
        <w:rPr>
          <w:b/>
          <w:i/>
          <w:sz w:val="22"/>
          <w:szCs w:val="22"/>
        </w:rPr>
        <w:t xml:space="preserve"> </w:t>
      </w:r>
    </w:p>
    <w:p w:rsidR="00EE3662" w:rsidRPr="008E4FBF" w:rsidRDefault="00EE3662" w:rsidP="00EE3662">
      <w:pPr>
        <w:jc w:val="both"/>
        <w:rPr>
          <w:b/>
          <w:i/>
          <w:sz w:val="22"/>
          <w:szCs w:val="22"/>
          <w:lang w:val="en-US"/>
        </w:rPr>
      </w:pPr>
      <w:r w:rsidRPr="008E4FBF">
        <w:rPr>
          <w:i/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Pr="008E4FBF">
        <w:rPr>
          <w:b/>
          <w:i/>
          <w:sz w:val="22"/>
          <w:szCs w:val="22"/>
          <w:lang w:val="en-US"/>
        </w:rPr>
        <w:t xml:space="preserve">  </w:t>
      </w:r>
    </w:p>
    <w:p w:rsidR="00EE3662" w:rsidRPr="008E4FBF" w:rsidRDefault="00EE3662" w:rsidP="00EE3662">
      <w:pPr>
        <w:jc w:val="both"/>
        <w:rPr>
          <w:i/>
          <w:sz w:val="22"/>
          <w:szCs w:val="22"/>
          <w:lang w:val="en-US"/>
        </w:rPr>
      </w:pPr>
      <w:r w:rsidRPr="008E4FBF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EE3662" w:rsidRPr="008E4FBF" w:rsidRDefault="00EE3662" w:rsidP="00EE3662">
      <w:pPr>
        <w:jc w:val="both"/>
        <w:rPr>
          <w:b/>
          <w:sz w:val="22"/>
          <w:szCs w:val="22"/>
          <w:lang w:val="en-US"/>
        </w:rPr>
      </w:pPr>
      <w:r w:rsidRPr="008E4FBF">
        <w:rPr>
          <w:b/>
          <w:sz w:val="22"/>
          <w:szCs w:val="22"/>
          <w:lang w:val="en-US"/>
        </w:rPr>
        <w:t xml:space="preserve">             PREȘEDINTE</w:t>
      </w:r>
      <w:r w:rsidRPr="008E4FBF">
        <w:rPr>
          <w:b/>
          <w:sz w:val="22"/>
          <w:szCs w:val="22"/>
          <w:lang w:val="en-US"/>
        </w:rPr>
        <w:tab/>
        <w:t xml:space="preserve">                                                                     DIRECTOR GENERAL </w:t>
      </w:r>
    </w:p>
    <w:p w:rsidR="00EE3662" w:rsidRPr="008E4FBF" w:rsidRDefault="00EE3662" w:rsidP="00EE3662">
      <w:pPr>
        <w:jc w:val="both"/>
        <w:rPr>
          <w:b/>
          <w:sz w:val="22"/>
          <w:szCs w:val="22"/>
          <w:lang w:val="en-US"/>
        </w:rPr>
      </w:pPr>
      <w:r w:rsidRPr="008E4FBF">
        <w:rPr>
          <w:b/>
          <w:sz w:val="22"/>
          <w:szCs w:val="22"/>
          <w:lang w:val="en-US"/>
        </w:rPr>
        <w:t xml:space="preserve">            ION MÎNZÎNĂ</w:t>
      </w:r>
      <w:r w:rsidRPr="008E4FBF">
        <w:rPr>
          <w:sz w:val="22"/>
          <w:szCs w:val="22"/>
          <w:lang w:val="en-US"/>
        </w:rPr>
        <w:t xml:space="preserve">                                                                     </w:t>
      </w:r>
      <w:r w:rsidRPr="008E4FBF">
        <w:rPr>
          <w:b/>
          <w:sz w:val="22"/>
          <w:szCs w:val="22"/>
          <w:lang w:val="en-US"/>
        </w:rPr>
        <w:t>TATIANA EFTIME</w:t>
      </w:r>
    </w:p>
    <w:p w:rsidR="00EE3662" w:rsidRPr="008E4FBF" w:rsidRDefault="00EE3662" w:rsidP="00EE3662">
      <w:pPr>
        <w:jc w:val="both"/>
        <w:rPr>
          <w:sz w:val="22"/>
          <w:szCs w:val="22"/>
          <w:lang w:val="en-US"/>
        </w:rPr>
      </w:pPr>
      <w:r w:rsidRPr="008E4FBF">
        <w:rPr>
          <w:sz w:val="22"/>
          <w:szCs w:val="22"/>
          <w:lang w:val="en-US"/>
        </w:rPr>
        <w:t xml:space="preserve">                           </w:t>
      </w:r>
    </w:p>
    <w:p w:rsidR="00EE3662" w:rsidRPr="008E4FBF" w:rsidRDefault="00EE3662" w:rsidP="00EE3662">
      <w:pPr>
        <w:jc w:val="both"/>
        <w:rPr>
          <w:sz w:val="22"/>
          <w:szCs w:val="22"/>
          <w:lang w:val="en-US"/>
        </w:rPr>
      </w:pPr>
      <w:r w:rsidRPr="008E4FBF">
        <w:rPr>
          <w:sz w:val="22"/>
          <w:szCs w:val="22"/>
          <w:lang w:val="en-US"/>
        </w:rPr>
        <w:t xml:space="preserve">                        </w:t>
      </w:r>
      <w:r w:rsidRPr="008E4FBF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EE3662" w:rsidRPr="0019404D" w:rsidRDefault="00EE3662" w:rsidP="00EE3662">
      <w:pPr>
        <w:jc w:val="both"/>
        <w:rPr>
          <w:b/>
          <w:i/>
          <w:sz w:val="22"/>
          <w:szCs w:val="22"/>
        </w:rPr>
      </w:pPr>
      <w:r w:rsidRPr="008E4FBF">
        <w:rPr>
          <w:b/>
          <w:sz w:val="22"/>
          <w:szCs w:val="22"/>
          <w:lang w:val="en-US"/>
        </w:rPr>
        <w:t xml:space="preserve"> </w:t>
      </w:r>
      <w:r w:rsidRPr="008E4FBF">
        <w:rPr>
          <w:b/>
          <w:sz w:val="22"/>
          <w:szCs w:val="22"/>
          <w:lang w:val="en-US"/>
        </w:rPr>
        <w:tab/>
        <w:t xml:space="preserve"> 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EE3662" w:rsidRPr="0019404D" w:rsidRDefault="00EE3662" w:rsidP="00EE3662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lastRenderedPageBreak/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</w:t>
      </w:r>
      <w:r>
        <w:rPr>
          <w:b/>
          <w:sz w:val="18"/>
          <w:szCs w:val="18"/>
        </w:rPr>
        <w:t xml:space="preserve">      </w:t>
      </w:r>
      <w:r w:rsidRPr="0019404D">
        <w:rPr>
          <w:b/>
          <w:sz w:val="18"/>
          <w:szCs w:val="18"/>
        </w:rPr>
        <w:t xml:space="preserve"> </w:t>
      </w:r>
      <w:r w:rsidRPr="0019404D">
        <w:rPr>
          <w:b/>
          <w:sz w:val="22"/>
          <w:szCs w:val="22"/>
        </w:rPr>
        <w:t xml:space="preserve">DIRECTOR GENERAL ADJUNCT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</w:t>
      </w:r>
      <w:r>
        <w:rPr>
          <w:b/>
          <w:sz w:val="22"/>
          <w:szCs w:val="22"/>
        </w:rPr>
        <w:t xml:space="preserve">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ADRIANA BADEA</w:t>
      </w:r>
      <w:r>
        <w:rPr>
          <w:b/>
          <w:sz w:val="22"/>
          <w:szCs w:val="22"/>
        </w:rPr>
        <w:tab/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19404D">
        <w:rPr>
          <w:b/>
          <w:sz w:val="22"/>
          <w:szCs w:val="22"/>
        </w:rPr>
        <w:t>DIRECTOR EXECUT</w:t>
      </w:r>
      <w:r>
        <w:rPr>
          <w:b/>
          <w:sz w:val="22"/>
          <w:szCs w:val="22"/>
        </w:rPr>
        <w:t>IV</w:t>
      </w:r>
      <w:r>
        <w:rPr>
          <w:b/>
          <w:sz w:val="22"/>
          <w:szCs w:val="22"/>
        </w:rPr>
        <w:tab/>
        <w:t xml:space="preserve">     </w:t>
      </w:r>
      <w:r>
        <w:rPr>
          <w:b/>
          <w:sz w:val="22"/>
          <w:szCs w:val="22"/>
        </w:rPr>
        <w:tab/>
        <w:t xml:space="preserve">             SERVICIUL JURIDIC ȘI MANAGEMENTUL</w:t>
      </w:r>
      <w:r w:rsidRPr="0019404D">
        <w:rPr>
          <w:b/>
          <w:sz w:val="22"/>
          <w:szCs w:val="22"/>
        </w:rPr>
        <w:t xml:space="preserve">                                          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19404D">
        <w:rPr>
          <w:b/>
          <w:sz w:val="22"/>
          <w:szCs w:val="22"/>
        </w:rPr>
        <w:t>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CALITĂȚII SERVICIILOR SOCIALE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  <w:r>
        <w:rPr>
          <w:b/>
          <w:sz w:val="22"/>
          <w:szCs w:val="22"/>
        </w:rPr>
        <w:t xml:space="preserve">        </w:t>
      </w:r>
      <w:r w:rsidRPr="0019404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LAURA ARSENE</w:t>
      </w:r>
      <w:r w:rsidRPr="0019404D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EE3662" w:rsidRPr="0019404D" w:rsidRDefault="00EE3662" w:rsidP="00EE366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EE3662" w:rsidRPr="0019404D" w:rsidRDefault="00EE3662" w:rsidP="00EE3662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  <w:r>
        <w:t xml:space="preserve">  </w:t>
      </w: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Pr="0019404D" w:rsidRDefault="00EE3662" w:rsidP="00EE3662">
      <w:pPr>
        <w:jc w:val="both"/>
      </w:pPr>
    </w:p>
    <w:p w:rsidR="00EE3662" w:rsidRPr="0019404D" w:rsidRDefault="00EE3662" w:rsidP="00EE3662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EE3662" w:rsidRDefault="00EE3662" w:rsidP="00EE3662">
      <w:pPr>
        <w:jc w:val="both"/>
        <w:rPr>
          <w:b/>
          <w:sz w:val="26"/>
          <w:szCs w:val="26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EE3662" w:rsidRPr="0019404D" w:rsidRDefault="00EE3662" w:rsidP="00EE3662">
      <w:pPr>
        <w:jc w:val="both"/>
        <w:rPr>
          <w:i/>
          <w:sz w:val="20"/>
          <w:szCs w:val="20"/>
        </w:rPr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EE3662" w:rsidRDefault="00EE3662" w:rsidP="00EE3662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D6143"/>
    <w:rsid w:val="00137C5C"/>
    <w:rsid w:val="003B659F"/>
    <w:rsid w:val="00707C2F"/>
    <w:rsid w:val="007D6143"/>
    <w:rsid w:val="008E4FBF"/>
    <w:rsid w:val="00925F0C"/>
    <w:rsid w:val="00DF22F8"/>
    <w:rsid w:val="00EE3662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EE36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EE3662"/>
  </w:style>
  <w:style w:type="character" w:customStyle="1" w:styleId="ln2ttabel">
    <w:name w:val="ln2ttabel"/>
    <w:basedOn w:val="DefaultParagraphFont"/>
    <w:rsid w:val="00EE3662"/>
  </w:style>
  <w:style w:type="character" w:customStyle="1" w:styleId="ln2punct1">
    <w:name w:val="ln2punct1"/>
    <w:rsid w:val="00EE3662"/>
    <w:rPr>
      <w:b/>
      <w:bCs/>
      <w:color w:val="008F00"/>
    </w:rPr>
  </w:style>
  <w:style w:type="character" w:customStyle="1" w:styleId="ln2tpunct">
    <w:name w:val="ln2tpunct"/>
    <w:basedOn w:val="DefaultParagraphFont"/>
    <w:rsid w:val="00EE3662"/>
  </w:style>
  <w:style w:type="character" w:styleId="Strong">
    <w:name w:val="Strong"/>
    <w:uiPriority w:val="22"/>
    <w:qFormat/>
    <w:rsid w:val="00EE3662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EE3662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1755</Words>
  <Characters>10009</Characters>
  <Application>Microsoft Office Word</Application>
  <DocSecurity>0</DocSecurity>
  <Lines>83</Lines>
  <Paragraphs>23</Paragraphs>
  <ScaleCrop>false</ScaleCrop>
  <Company>Consiliul Judetean Arges</Company>
  <LinksUpToDate>false</LinksUpToDate>
  <CharactersWithSpaces>11741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2025-04-22T10:30:00Z</dcterms:created>
  <dcterms:modified xsi:type="dcterms:W3CDTF">2025-04-23T11:31:00Z</dcterms:modified>
</cp:coreProperties>
</file>