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A0" w:rsidRDefault="001858A0" w:rsidP="001858A0">
      <w:pPr>
        <w:tabs>
          <w:tab w:val="left" w:pos="166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Pr="00397AE8" w:rsidRDefault="001858A0" w:rsidP="001858A0">
      <w:pPr>
        <w:tabs>
          <w:tab w:val="left" w:pos="166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  <w:proofErr w:type="spellStart"/>
      <w:r w:rsidRPr="00397AE8">
        <w:rPr>
          <w:rFonts w:ascii="Times New Roman" w:hAnsi="Times New Roman"/>
          <w:b/>
          <w:sz w:val="24"/>
          <w:szCs w:val="24"/>
          <w:lang w:val="fr-FR"/>
        </w:rPr>
        <w:t>Anexa</w:t>
      </w:r>
      <w:proofErr w:type="spellEnd"/>
      <w:r w:rsidRPr="00397AE8">
        <w:rPr>
          <w:rFonts w:ascii="Times New Roman" w:hAnsi="Times New Roman"/>
          <w:b/>
          <w:sz w:val="24"/>
          <w:szCs w:val="24"/>
          <w:lang w:val="fr-FR"/>
        </w:rPr>
        <w:t xml:space="preserve"> nr. 1</w:t>
      </w:r>
      <w:r w:rsidR="00607A1B">
        <w:rPr>
          <w:rFonts w:ascii="Times New Roman" w:hAnsi="Times New Roman"/>
          <w:b/>
          <w:sz w:val="24"/>
          <w:szCs w:val="24"/>
          <w:lang w:val="fr-FR"/>
        </w:rPr>
        <w:t xml:space="preserve"> la H.C.J nr.164/30.05.2024</w:t>
      </w:r>
    </w:p>
    <w:p w:rsidR="001858A0" w:rsidRPr="00397AE8" w:rsidRDefault="001858A0" w:rsidP="001858A0">
      <w:pPr>
        <w:tabs>
          <w:tab w:val="left" w:pos="166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  <w:r w:rsidRPr="00397AE8">
        <w:rPr>
          <w:rFonts w:ascii="Times New Roman" w:hAnsi="Times New Roman"/>
          <w:b/>
          <w:sz w:val="24"/>
          <w:szCs w:val="24"/>
          <w:lang w:val="fr-FR"/>
        </w:rPr>
        <w:t xml:space="preserve"> Date de </w:t>
      </w:r>
      <w:proofErr w:type="spellStart"/>
      <w:r w:rsidRPr="00397AE8">
        <w:rPr>
          <w:rFonts w:ascii="Times New Roman" w:hAnsi="Times New Roman"/>
          <w:b/>
          <w:sz w:val="24"/>
          <w:szCs w:val="24"/>
          <w:lang w:val="fr-FR"/>
        </w:rPr>
        <w:t>identificare</w:t>
      </w:r>
      <w:proofErr w:type="spellEnd"/>
      <w:r w:rsidRPr="00397AE8">
        <w:rPr>
          <w:rFonts w:ascii="Times New Roman" w:hAnsi="Times New Roman"/>
          <w:b/>
          <w:sz w:val="24"/>
          <w:szCs w:val="24"/>
          <w:lang w:val="fr-FR"/>
        </w:rPr>
        <w:t xml:space="preserve"> ale spaț</w:t>
      </w:r>
      <w:proofErr w:type="spellStart"/>
      <w:r w:rsidRPr="00397AE8">
        <w:rPr>
          <w:rFonts w:ascii="Times New Roman" w:hAnsi="Times New Roman"/>
          <w:b/>
          <w:sz w:val="24"/>
          <w:szCs w:val="24"/>
          <w:lang w:val="fr-FR"/>
        </w:rPr>
        <w:t>iilor</w:t>
      </w:r>
      <w:proofErr w:type="spellEnd"/>
      <w:r w:rsidRPr="00397AE8">
        <w:rPr>
          <w:rFonts w:ascii="Times New Roman" w:hAnsi="Times New Roman"/>
          <w:b/>
          <w:sz w:val="24"/>
          <w:szCs w:val="24"/>
          <w:lang w:val="fr-FR"/>
        </w:rPr>
        <w:t xml:space="preserve"> ce se </w:t>
      </w:r>
      <w:proofErr w:type="spellStart"/>
      <w:r w:rsidRPr="00397AE8">
        <w:rPr>
          <w:rFonts w:ascii="Times New Roman" w:hAnsi="Times New Roman"/>
          <w:b/>
          <w:sz w:val="24"/>
          <w:szCs w:val="24"/>
          <w:lang w:val="fr-FR"/>
        </w:rPr>
        <w:t>dau</w:t>
      </w:r>
      <w:proofErr w:type="spellEnd"/>
      <w:r w:rsidRPr="00397AE8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397AE8">
        <w:rPr>
          <w:rFonts w:ascii="Times New Roman" w:hAnsi="Times New Roman"/>
          <w:b/>
          <w:sz w:val="24"/>
          <w:szCs w:val="24"/>
          <w:lang w:val="fr-FR"/>
        </w:rPr>
        <w:t>în</w:t>
      </w:r>
      <w:proofErr w:type="spellEnd"/>
      <w:r w:rsidRPr="00397AE8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397AE8">
        <w:rPr>
          <w:rFonts w:ascii="Times New Roman" w:hAnsi="Times New Roman"/>
          <w:b/>
          <w:sz w:val="24"/>
          <w:szCs w:val="24"/>
          <w:lang w:val="fr-FR"/>
        </w:rPr>
        <w:t>folosinţă</w:t>
      </w:r>
      <w:proofErr w:type="spellEnd"/>
      <w:r w:rsidRPr="00397AE8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397AE8">
        <w:rPr>
          <w:rFonts w:ascii="Times New Roman" w:hAnsi="Times New Roman"/>
          <w:b/>
          <w:sz w:val="24"/>
          <w:szCs w:val="24"/>
          <w:lang w:val="fr-FR"/>
        </w:rPr>
        <w:t>cu</w:t>
      </w:r>
      <w:proofErr w:type="spellEnd"/>
      <w:r w:rsidRPr="00397AE8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397AE8">
        <w:rPr>
          <w:rFonts w:ascii="Times New Roman" w:hAnsi="Times New Roman"/>
          <w:b/>
          <w:sz w:val="24"/>
          <w:szCs w:val="24"/>
          <w:lang w:val="fr-FR"/>
        </w:rPr>
        <w:t>titlu</w:t>
      </w:r>
      <w:proofErr w:type="spellEnd"/>
      <w:r w:rsidRPr="00397AE8">
        <w:rPr>
          <w:rFonts w:ascii="Times New Roman" w:hAnsi="Times New Roman"/>
          <w:b/>
          <w:sz w:val="24"/>
          <w:szCs w:val="24"/>
          <w:lang w:val="fr-FR"/>
        </w:rPr>
        <w:t xml:space="preserve"> gratuit </w:t>
      </w:r>
    </w:p>
    <w:p w:rsidR="001858A0" w:rsidRPr="00397AE8" w:rsidRDefault="001858A0" w:rsidP="001858A0">
      <w:pPr>
        <w:tabs>
          <w:tab w:val="left" w:pos="166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397AE8">
        <w:rPr>
          <w:rFonts w:ascii="Times New Roman" w:hAnsi="Times New Roman"/>
          <w:b/>
          <w:sz w:val="24"/>
          <w:szCs w:val="24"/>
          <w:lang w:val="fr-FR"/>
        </w:rPr>
        <w:t>Casei</w:t>
      </w:r>
      <w:proofErr w:type="spellEnd"/>
      <w:r w:rsidRPr="00397AE8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397AE8">
        <w:rPr>
          <w:rFonts w:ascii="Times New Roman" w:hAnsi="Times New Roman"/>
          <w:b/>
          <w:sz w:val="24"/>
          <w:szCs w:val="24"/>
          <w:lang w:val="fr-FR"/>
        </w:rPr>
        <w:t>ene</w:t>
      </w:r>
      <w:proofErr w:type="spellEnd"/>
      <w:r w:rsidRPr="00397AE8">
        <w:rPr>
          <w:rFonts w:ascii="Times New Roman" w:hAnsi="Times New Roman"/>
          <w:b/>
          <w:sz w:val="24"/>
          <w:szCs w:val="24"/>
          <w:lang w:val="fr-FR"/>
        </w:rPr>
        <w:t xml:space="preserve"> de </w:t>
      </w:r>
      <w:proofErr w:type="spellStart"/>
      <w:r w:rsidRPr="00397AE8">
        <w:rPr>
          <w:rFonts w:ascii="Times New Roman" w:hAnsi="Times New Roman"/>
          <w:b/>
          <w:sz w:val="24"/>
          <w:szCs w:val="24"/>
          <w:lang w:val="fr-FR"/>
        </w:rPr>
        <w:t>Pensii</w:t>
      </w:r>
      <w:proofErr w:type="spellEnd"/>
      <w:r w:rsidRPr="00397AE8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397AE8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397AE8">
        <w:rPr>
          <w:rFonts w:ascii="Times New Roman" w:hAnsi="Times New Roman"/>
          <w:b/>
          <w:sz w:val="24"/>
          <w:szCs w:val="24"/>
          <w:lang w:val="fr-FR"/>
        </w:rPr>
        <w:t>ș</w:t>
      </w:r>
    </w:p>
    <w:p w:rsidR="001858A0" w:rsidRDefault="001858A0" w:rsidP="001858A0">
      <w:pPr>
        <w:tabs>
          <w:tab w:val="left" w:pos="1663"/>
        </w:tabs>
        <w:rPr>
          <w:b/>
        </w:rPr>
      </w:pPr>
    </w:p>
    <w:p w:rsidR="001858A0" w:rsidRDefault="001858A0" w:rsidP="001858A0">
      <w:pPr>
        <w:rPr>
          <w:sz w:val="28"/>
          <w:szCs w:val="28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34"/>
        <w:gridCol w:w="1714"/>
        <w:gridCol w:w="1260"/>
        <w:gridCol w:w="1440"/>
        <w:gridCol w:w="1620"/>
        <w:gridCol w:w="1306"/>
      </w:tblGrid>
      <w:tr w:rsidR="001858A0" w:rsidRPr="007306AF" w:rsidTr="00352E4E">
        <w:trPr>
          <w:trHeight w:val="1598"/>
          <w:jc w:val="center"/>
        </w:trPr>
        <w:tc>
          <w:tcPr>
            <w:tcW w:w="1834" w:type="dxa"/>
            <w:shd w:val="clear" w:color="auto" w:fill="auto"/>
          </w:tcPr>
          <w:p w:rsidR="001858A0" w:rsidRPr="00607A1B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607A1B">
              <w:rPr>
                <w:b/>
                <w:sz w:val="20"/>
                <w:szCs w:val="20"/>
                <w:lang w:val="fr-FR"/>
              </w:rPr>
              <w:t>Denumire</w:t>
            </w:r>
            <w:proofErr w:type="spellEnd"/>
            <w:r w:rsidRPr="00607A1B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7A1B">
              <w:rPr>
                <w:b/>
                <w:sz w:val="20"/>
                <w:szCs w:val="20"/>
                <w:lang w:val="fr-FR"/>
              </w:rPr>
              <w:t>spatii</w:t>
            </w:r>
            <w:proofErr w:type="spellEnd"/>
          </w:p>
          <w:p w:rsidR="001858A0" w:rsidRPr="00607A1B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607A1B">
              <w:rPr>
                <w:b/>
                <w:sz w:val="20"/>
                <w:szCs w:val="20"/>
                <w:lang w:val="fr-FR"/>
              </w:rPr>
              <w:t>reprezentând</w:t>
            </w:r>
            <w:proofErr w:type="spellEnd"/>
            <w:r w:rsidRPr="00607A1B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7A1B">
              <w:rPr>
                <w:b/>
                <w:sz w:val="20"/>
                <w:szCs w:val="20"/>
                <w:lang w:val="fr-FR"/>
              </w:rPr>
              <w:t>spaţiul</w:t>
            </w:r>
            <w:proofErr w:type="spellEnd"/>
            <w:r w:rsidRPr="00607A1B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7A1B">
              <w:rPr>
                <w:b/>
                <w:sz w:val="20"/>
                <w:szCs w:val="20"/>
                <w:lang w:val="fr-FR"/>
              </w:rPr>
              <w:t>propriu</w:t>
            </w:r>
            <w:proofErr w:type="spellEnd"/>
            <w:r w:rsidRPr="00607A1B">
              <w:rPr>
                <w:b/>
                <w:sz w:val="20"/>
                <w:szCs w:val="20"/>
                <w:lang w:val="fr-FR"/>
              </w:rPr>
              <w:t>/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7306AF">
              <w:rPr>
                <w:b/>
                <w:sz w:val="20"/>
                <w:szCs w:val="20"/>
                <w:lang w:val="fr-FR"/>
              </w:rPr>
              <w:t>spaţiile</w:t>
            </w:r>
            <w:proofErr w:type="spellEnd"/>
            <w:r w:rsidRPr="007306AF">
              <w:rPr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7306AF">
              <w:rPr>
                <w:b/>
                <w:sz w:val="20"/>
                <w:szCs w:val="20"/>
                <w:lang w:val="fr-FR"/>
              </w:rPr>
              <w:t>folosinţă</w:t>
            </w:r>
            <w:proofErr w:type="spellEnd"/>
            <w:r w:rsidRPr="007306AF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306AF">
              <w:rPr>
                <w:b/>
                <w:sz w:val="20"/>
                <w:szCs w:val="20"/>
                <w:lang w:val="fr-FR"/>
              </w:rPr>
              <w:t>comună</w:t>
            </w:r>
            <w:proofErr w:type="spellEnd"/>
            <w:r w:rsidRPr="007306AF">
              <w:rPr>
                <w:b/>
                <w:sz w:val="20"/>
                <w:szCs w:val="20"/>
                <w:lang w:val="fr-FR"/>
              </w:rPr>
              <w:t xml:space="preserve"> 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7306AF">
              <w:rPr>
                <w:b/>
                <w:sz w:val="20"/>
                <w:szCs w:val="20"/>
                <w:lang w:val="fr-FR"/>
              </w:rPr>
              <w:t>conform</w:t>
            </w:r>
            <w:proofErr w:type="spellEnd"/>
            <w:r w:rsidRPr="007306AF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306AF">
              <w:rPr>
                <w:b/>
                <w:sz w:val="20"/>
                <w:szCs w:val="20"/>
                <w:lang w:val="fr-FR"/>
              </w:rPr>
              <w:t>releveului</w:t>
            </w:r>
            <w:proofErr w:type="spellEnd"/>
          </w:p>
        </w:tc>
        <w:tc>
          <w:tcPr>
            <w:tcW w:w="171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7306AF">
              <w:rPr>
                <w:b/>
                <w:sz w:val="20"/>
                <w:szCs w:val="20"/>
                <w:lang w:val="fr-FR"/>
              </w:rPr>
              <w:t>Locatie</w:t>
            </w:r>
            <w:proofErr w:type="spellEnd"/>
            <w:r w:rsidRPr="007306AF">
              <w:rPr>
                <w:b/>
                <w:sz w:val="20"/>
                <w:szCs w:val="20"/>
                <w:lang w:val="fr-FR"/>
              </w:rPr>
              <w:t xml:space="preserve">  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7306AF">
              <w:rPr>
                <w:b/>
                <w:sz w:val="20"/>
                <w:szCs w:val="20"/>
                <w:lang w:val="fr-FR"/>
              </w:rPr>
              <w:t>spaţii</w:t>
            </w:r>
            <w:proofErr w:type="spellEnd"/>
            <w:r w:rsidRPr="007306AF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306AF">
              <w:rPr>
                <w:b/>
                <w:sz w:val="20"/>
                <w:szCs w:val="20"/>
                <w:lang w:val="fr-FR"/>
              </w:rPr>
              <w:t>proprii</w:t>
            </w:r>
            <w:proofErr w:type="spellEnd"/>
            <w:r w:rsidRPr="007306AF">
              <w:rPr>
                <w:b/>
                <w:sz w:val="20"/>
                <w:szCs w:val="20"/>
                <w:lang w:val="fr-FR"/>
              </w:rPr>
              <w:t>/</w:t>
            </w:r>
            <w:proofErr w:type="spellStart"/>
            <w:r w:rsidRPr="007306AF">
              <w:rPr>
                <w:b/>
                <w:sz w:val="20"/>
                <w:szCs w:val="20"/>
                <w:lang w:val="fr-FR"/>
              </w:rPr>
              <w:t>spaţii</w:t>
            </w:r>
            <w:proofErr w:type="spellEnd"/>
            <w:r w:rsidRPr="007306AF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306AF">
              <w:rPr>
                <w:b/>
                <w:sz w:val="20"/>
                <w:szCs w:val="20"/>
                <w:lang w:val="fr-FR"/>
              </w:rPr>
              <w:t>comune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1858A0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7306AF">
              <w:rPr>
                <w:b/>
                <w:sz w:val="20"/>
                <w:szCs w:val="20"/>
                <w:lang w:val="fr-FR"/>
              </w:rPr>
              <w:t>Suprafaţa</w:t>
            </w:r>
            <w:proofErr w:type="spellEnd"/>
            <w:r w:rsidRPr="007306AF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306AF">
              <w:rPr>
                <w:b/>
                <w:sz w:val="20"/>
                <w:szCs w:val="20"/>
                <w:lang w:val="fr-FR"/>
              </w:rPr>
              <w:t>desfasurata</w:t>
            </w:r>
            <w:proofErr w:type="spellEnd"/>
            <w:r w:rsidRPr="007306AF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306AF">
              <w:rPr>
                <w:b/>
                <w:sz w:val="20"/>
                <w:szCs w:val="20"/>
                <w:lang w:val="fr-FR"/>
              </w:rPr>
              <w:t>spaţii</w:t>
            </w:r>
            <w:proofErr w:type="spellEnd"/>
            <w:r w:rsidRPr="007306AF">
              <w:rPr>
                <w:b/>
                <w:sz w:val="20"/>
                <w:szCs w:val="20"/>
                <w:lang w:val="fr-FR"/>
              </w:rPr>
              <w:t xml:space="preserve"> </w:t>
            </w:r>
          </w:p>
          <w:p w:rsidR="001858A0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</w:rPr>
              <w:t>-mp-</w:t>
            </w:r>
          </w:p>
        </w:tc>
        <w:tc>
          <w:tcPr>
            <w:tcW w:w="1440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306AF">
              <w:rPr>
                <w:b/>
                <w:sz w:val="20"/>
                <w:szCs w:val="20"/>
              </w:rPr>
              <w:t>Cartea</w:t>
            </w:r>
            <w:proofErr w:type="spellEnd"/>
            <w:r w:rsidRPr="007306A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306AF">
              <w:rPr>
                <w:b/>
                <w:sz w:val="20"/>
                <w:szCs w:val="20"/>
              </w:rPr>
              <w:t>funciară</w:t>
            </w:r>
            <w:proofErr w:type="spellEnd"/>
          </w:p>
        </w:tc>
        <w:tc>
          <w:tcPr>
            <w:tcW w:w="1620" w:type="dxa"/>
          </w:tcPr>
          <w:p w:rsidR="001858A0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306AF">
              <w:rPr>
                <w:b/>
                <w:sz w:val="20"/>
                <w:szCs w:val="20"/>
              </w:rPr>
              <w:t>Suprafaţa</w:t>
            </w:r>
            <w:proofErr w:type="spellEnd"/>
            <w:r w:rsidRPr="007306A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306AF">
              <w:rPr>
                <w:b/>
                <w:sz w:val="20"/>
                <w:szCs w:val="20"/>
              </w:rPr>
              <w:t>desfăşurată</w:t>
            </w:r>
            <w:proofErr w:type="spellEnd"/>
            <w:r w:rsidRPr="007306A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306AF">
              <w:rPr>
                <w:b/>
                <w:sz w:val="20"/>
                <w:szCs w:val="20"/>
              </w:rPr>
              <w:t>totală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Pr="007306AF">
              <w:rPr>
                <w:b/>
                <w:sz w:val="20"/>
                <w:szCs w:val="20"/>
              </w:rPr>
              <w:t xml:space="preserve">(cf. </w:t>
            </w:r>
            <w:proofErr w:type="spellStart"/>
            <w:r w:rsidRPr="007306AF">
              <w:rPr>
                <w:b/>
                <w:sz w:val="20"/>
                <w:szCs w:val="20"/>
              </w:rPr>
              <w:t>cota</w:t>
            </w:r>
            <w:proofErr w:type="spellEnd"/>
            <w:r w:rsidRPr="007306A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306AF">
              <w:rPr>
                <w:b/>
                <w:sz w:val="20"/>
                <w:szCs w:val="20"/>
              </w:rPr>
              <w:t>indiviză</w:t>
            </w:r>
            <w:proofErr w:type="spellEnd"/>
            <w:r w:rsidRPr="007306AF">
              <w:rPr>
                <w:b/>
                <w:sz w:val="20"/>
                <w:szCs w:val="20"/>
              </w:rPr>
              <w:t>)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</w:tcPr>
          <w:p w:rsidR="001858A0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306AF">
              <w:rPr>
                <w:b/>
                <w:sz w:val="20"/>
                <w:szCs w:val="20"/>
              </w:rPr>
              <w:t>Valoarea</w:t>
            </w:r>
            <w:proofErr w:type="spellEnd"/>
          </w:p>
          <w:p w:rsidR="001858A0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reevaluata</w:t>
            </w:r>
            <w:proofErr w:type="spellEnd"/>
            <w:r>
              <w:rPr>
                <w:b/>
                <w:sz w:val="20"/>
                <w:szCs w:val="20"/>
              </w:rPr>
              <w:t xml:space="preserve"> 01.12.2022</w:t>
            </w:r>
          </w:p>
          <w:p w:rsidR="001858A0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-lei-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58A0" w:rsidRPr="007306AF" w:rsidTr="00352E4E">
        <w:trPr>
          <w:trHeight w:val="327"/>
          <w:jc w:val="center"/>
        </w:trPr>
        <w:tc>
          <w:tcPr>
            <w:tcW w:w="183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7306AF">
              <w:rPr>
                <w:sz w:val="20"/>
                <w:szCs w:val="20"/>
              </w:rPr>
              <w:t>Oficiu</w:t>
            </w:r>
            <w:proofErr w:type="spellEnd"/>
            <w:r w:rsidRPr="007306AF">
              <w:rPr>
                <w:sz w:val="20"/>
                <w:szCs w:val="20"/>
              </w:rPr>
              <w:t xml:space="preserve"> </w:t>
            </w:r>
            <w:proofErr w:type="spellStart"/>
            <w:r w:rsidRPr="007306AF">
              <w:rPr>
                <w:sz w:val="20"/>
                <w:szCs w:val="20"/>
              </w:rPr>
              <w:t>expertiza</w:t>
            </w:r>
            <w:proofErr w:type="spellEnd"/>
            <w:r w:rsidRPr="007306AF">
              <w:rPr>
                <w:sz w:val="20"/>
                <w:szCs w:val="20"/>
              </w:rPr>
              <w:t xml:space="preserve"> </w:t>
            </w:r>
            <w:proofErr w:type="spellStart"/>
            <w:r w:rsidRPr="007306AF">
              <w:rPr>
                <w:sz w:val="20"/>
                <w:szCs w:val="20"/>
              </w:rPr>
              <w:t>medicala</w:t>
            </w:r>
            <w:proofErr w:type="spellEnd"/>
            <w:r w:rsidRPr="007306AF">
              <w:rPr>
                <w:sz w:val="20"/>
                <w:szCs w:val="20"/>
              </w:rPr>
              <w:t xml:space="preserve"> (6 </w:t>
            </w:r>
            <w:proofErr w:type="spellStart"/>
            <w:r w:rsidRPr="007306AF">
              <w:rPr>
                <w:sz w:val="20"/>
                <w:szCs w:val="20"/>
              </w:rPr>
              <w:t>camere</w:t>
            </w:r>
            <w:proofErr w:type="spellEnd"/>
            <w:r w:rsidRPr="007306AF">
              <w:rPr>
                <w:sz w:val="20"/>
                <w:szCs w:val="20"/>
              </w:rPr>
              <w:t>)</w:t>
            </w:r>
          </w:p>
        </w:tc>
        <w:tc>
          <w:tcPr>
            <w:tcW w:w="171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6AF">
              <w:rPr>
                <w:sz w:val="20"/>
                <w:szCs w:val="20"/>
              </w:rPr>
              <w:t>b-</w:t>
            </w:r>
            <w:proofErr w:type="spellStart"/>
            <w:r w:rsidRPr="007306AF">
              <w:rPr>
                <w:sz w:val="20"/>
                <w:szCs w:val="20"/>
              </w:rPr>
              <w:t>dul</w:t>
            </w:r>
            <w:proofErr w:type="spellEnd"/>
            <w:r w:rsidRPr="007306AF">
              <w:rPr>
                <w:sz w:val="20"/>
                <w:szCs w:val="20"/>
              </w:rPr>
              <w:t xml:space="preserve"> IC </w:t>
            </w:r>
            <w:proofErr w:type="spellStart"/>
            <w:r w:rsidRPr="007306AF">
              <w:rPr>
                <w:sz w:val="20"/>
                <w:szCs w:val="20"/>
              </w:rPr>
              <w:t>Bratianu</w:t>
            </w:r>
            <w:proofErr w:type="spellEnd"/>
            <w:r w:rsidRPr="007306AF">
              <w:rPr>
                <w:sz w:val="20"/>
                <w:szCs w:val="20"/>
              </w:rPr>
              <w:t xml:space="preserve">, bloc A2, </w:t>
            </w:r>
            <w:proofErr w:type="spellStart"/>
            <w:r w:rsidRPr="007306AF">
              <w:rPr>
                <w:sz w:val="20"/>
                <w:szCs w:val="20"/>
              </w:rPr>
              <w:t>scara</w:t>
            </w:r>
            <w:proofErr w:type="spellEnd"/>
            <w:r w:rsidRPr="007306AF">
              <w:rPr>
                <w:sz w:val="20"/>
                <w:szCs w:val="20"/>
              </w:rPr>
              <w:t xml:space="preserve"> A, </w:t>
            </w:r>
            <w:proofErr w:type="spellStart"/>
            <w:r w:rsidRPr="007306AF">
              <w:rPr>
                <w:sz w:val="20"/>
                <w:szCs w:val="20"/>
              </w:rPr>
              <w:t>Parter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6AF">
              <w:rPr>
                <w:sz w:val="20"/>
                <w:szCs w:val="20"/>
              </w:rPr>
              <w:t>31,27</w:t>
            </w:r>
          </w:p>
        </w:tc>
        <w:tc>
          <w:tcPr>
            <w:tcW w:w="1440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06AF">
              <w:rPr>
                <w:b/>
                <w:sz w:val="20"/>
                <w:szCs w:val="20"/>
              </w:rPr>
              <w:t>83452-C1-U15</w:t>
            </w:r>
          </w:p>
        </w:tc>
        <w:tc>
          <w:tcPr>
            <w:tcW w:w="1620" w:type="dxa"/>
            <w:vMerge w:val="restart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06AF">
              <w:rPr>
                <w:b/>
                <w:sz w:val="20"/>
                <w:szCs w:val="20"/>
              </w:rPr>
              <w:t>174 mp</w:t>
            </w:r>
          </w:p>
        </w:tc>
        <w:tc>
          <w:tcPr>
            <w:tcW w:w="1306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47291,01</w:t>
            </w:r>
          </w:p>
        </w:tc>
      </w:tr>
      <w:tr w:rsidR="001858A0" w:rsidRPr="007306AF" w:rsidTr="00352E4E">
        <w:trPr>
          <w:trHeight w:val="327"/>
          <w:jc w:val="center"/>
        </w:trPr>
        <w:tc>
          <w:tcPr>
            <w:tcW w:w="183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306AF">
              <w:rPr>
                <w:color w:val="000000"/>
                <w:sz w:val="20"/>
                <w:szCs w:val="20"/>
              </w:rPr>
              <w:t>Spatiu</w:t>
            </w:r>
            <w:proofErr w:type="spellEnd"/>
            <w:r w:rsidRPr="007306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06AF">
              <w:rPr>
                <w:color w:val="000000"/>
                <w:sz w:val="20"/>
                <w:szCs w:val="20"/>
              </w:rPr>
              <w:t>servicii</w:t>
            </w:r>
            <w:proofErr w:type="spellEnd"/>
            <w:r w:rsidRPr="007306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06AF">
              <w:rPr>
                <w:color w:val="000000"/>
                <w:sz w:val="20"/>
                <w:szCs w:val="20"/>
              </w:rPr>
              <w:t>medicale</w:t>
            </w:r>
            <w:proofErr w:type="spellEnd"/>
            <w:r w:rsidRPr="007306AF">
              <w:rPr>
                <w:color w:val="000000"/>
                <w:sz w:val="20"/>
                <w:szCs w:val="20"/>
              </w:rPr>
              <w:t xml:space="preserve"> (15 </w:t>
            </w:r>
            <w:proofErr w:type="spellStart"/>
            <w:r w:rsidRPr="007306AF">
              <w:rPr>
                <w:color w:val="000000"/>
                <w:sz w:val="20"/>
                <w:szCs w:val="20"/>
              </w:rPr>
              <w:t>camere</w:t>
            </w:r>
            <w:proofErr w:type="spellEnd"/>
            <w:r w:rsidRPr="007306A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71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6AF">
              <w:rPr>
                <w:sz w:val="20"/>
                <w:szCs w:val="20"/>
              </w:rPr>
              <w:t xml:space="preserve"> b-</w:t>
            </w:r>
            <w:proofErr w:type="spellStart"/>
            <w:r w:rsidRPr="007306AF">
              <w:rPr>
                <w:sz w:val="20"/>
                <w:szCs w:val="20"/>
              </w:rPr>
              <w:t>dul</w:t>
            </w:r>
            <w:proofErr w:type="spellEnd"/>
            <w:r w:rsidRPr="007306AF">
              <w:rPr>
                <w:sz w:val="20"/>
                <w:szCs w:val="20"/>
              </w:rPr>
              <w:t xml:space="preserve"> IC </w:t>
            </w:r>
            <w:proofErr w:type="spellStart"/>
            <w:r w:rsidRPr="007306AF">
              <w:rPr>
                <w:sz w:val="20"/>
                <w:szCs w:val="20"/>
              </w:rPr>
              <w:t>Bratianu</w:t>
            </w:r>
            <w:proofErr w:type="spellEnd"/>
            <w:r w:rsidRPr="007306AF">
              <w:rPr>
                <w:sz w:val="20"/>
                <w:szCs w:val="20"/>
              </w:rPr>
              <w:t xml:space="preserve">, bloc A2, </w:t>
            </w:r>
            <w:proofErr w:type="spellStart"/>
            <w:r w:rsidRPr="007306AF">
              <w:rPr>
                <w:sz w:val="20"/>
                <w:szCs w:val="20"/>
              </w:rPr>
              <w:t>scara</w:t>
            </w:r>
            <w:proofErr w:type="spellEnd"/>
            <w:r w:rsidRPr="007306AF">
              <w:rPr>
                <w:sz w:val="20"/>
                <w:szCs w:val="20"/>
              </w:rPr>
              <w:t xml:space="preserve"> A, </w:t>
            </w:r>
            <w:proofErr w:type="spellStart"/>
            <w:r w:rsidRPr="007306AF">
              <w:rPr>
                <w:sz w:val="20"/>
                <w:szCs w:val="20"/>
              </w:rPr>
              <w:t>Mezanin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306AF">
              <w:rPr>
                <w:color w:val="000000"/>
                <w:sz w:val="20"/>
                <w:szCs w:val="20"/>
              </w:rPr>
              <w:t>142,73</w:t>
            </w:r>
          </w:p>
        </w:tc>
        <w:tc>
          <w:tcPr>
            <w:tcW w:w="1440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7306AF">
              <w:rPr>
                <w:b/>
                <w:color w:val="000000"/>
                <w:sz w:val="20"/>
                <w:szCs w:val="20"/>
              </w:rPr>
              <w:t>83452-C1-U8</w:t>
            </w:r>
          </w:p>
        </w:tc>
        <w:tc>
          <w:tcPr>
            <w:tcW w:w="1620" w:type="dxa"/>
            <w:vMerge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238459,09</w:t>
            </w:r>
          </w:p>
        </w:tc>
      </w:tr>
      <w:tr w:rsidR="001858A0" w:rsidRPr="007306AF" w:rsidTr="00352E4E">
        <w:trPr>
          <w:trHeight w:val="1254"/>
          <w:jc w:val="center"/>
        </w:trPr>
        <w:tc>
          <w:tcPr>
            <w:tcW w:w="183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7306AF">
              <w:rPr>
                <w:sz w:val="20"/>
                <w:szCs w:val="20"/>
              </w:rPr>
              <w:t>Hol</w:t>
            </w:r>
            <w:proofErr w:type="spellEnd"/>
            <w:r w:rsidRPr="007306AF">
              <w:rPr>
                <w:sz w:val="20"/>
                <w:szCs w:val="20"/>
              </w:rPr>
              <w:t xml:space="preserve"> +</w:t>
            </w:r>
            <w:proofErr w:type="spellStart"/>
            <w:r w:rsidRPr="007306AF">
              <w:rPr>
                <w:sz w:val="20"/>
                <w:szCs w:val="20"/>
              </w:rPr>
              <w:t>dependinte</w:t>
            </w:r>
            <w:proofErr w:type="spellEnd"/>
            <w:r w:rsidRPr="007306AF">
              <w:rPr>
                <w:sz w:val="20"/>
                <w:szCs w:val="20"/>
              </w:rPr>
              <w:t>,</w:t>
            </w:r>
          </w:p>
          <w:p w:rsidR="001858A0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  <w:r w:rsidRPr="007306AF">
              <w:rPr>
                <w:sz w:val="20"/>
                <w:szCs w:val="20"/>
                <w:lang w:val="fr-FR"/>
              </w:rPr>
              <w:t xml:space="preserve">Case </w:t>
            </w:r>
            <w:proofErr w:type="spellStart"/>
            <w:r w:rsidRPr="007306AF">
              <w:rPr>
                <w:sz w:val="20"/>
                <w:szCs w:val="20"/>
                <w:lang w:val="fr-FR"/>
              </w:rPr>
              <w:t>scări</w:t>
            </w:r>
            <w:proofErr w:type="spellEnd"/>
            <w:r w:rsidRPr="007306AF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7306AF">
              <w:rPr>
                <w:sz w:val="20"/>
                <w:szCs w:val="20"/>
                <w:lang w:val="fr-FR"/>
              </w:rPr>
              <w:t>parter</w:t>
            </w:r>
            <w:proofErr w:type="spellEnd"/>
            <w:r w:rsidRPr="007306AF">
              <w:rPr>
                <w:sz w:val="20"/>
                <w:szCs w:val="20"/>
                <w:lang w:val="fr-FR"/>
              </w:rPr>
              <w:t xml:space="preserve"> 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7306AF">
              <w:rPr>
                <w:sz w:val="20"/>
                <w:szCs w:val="20"/>
              </w:rPr>
              <w:t>Hol</w:t>
            </w:r>
            <w:proofErr w:type="spellEnd"/>
            <w:r w:rsidRPr="007306AF">
              <w:rPr>
                <w:sz w:val="20"/>
                <w:szCs w:val="20"/>
              </w:rPr>
              <w:t xml:space="preserve">, Case </w:t>
            </w:r>
            <w:proofErr w:type="spellStart"/>
            <w:r w:rsidRPr="007306AF">
              <w:rPr>
                <w:sz w:val="20"/>
                <w:szCs w:val="20"/>
              </w:rPr>
              <w:t>scări</w:t>
            </w:r>
            <w:proofErr w:type="spellEnd"/>
            <w:r w:rsidRPr="007306AF">
              <w:rPr>
                <w:sz w:val="20"/>
                <w:szCs w:val="20"/>
              </w:rPr>
              <w:t xml:space="preserve"> 1 </w:t>
            </w:r>
            <w:proofErr w:type="spellStart"/>
            <w:r w:rsidRPr="007306AF">
              <w:rPr>
                <w:sz w:val="20"/>
                <w:szCs w:val="20"/>
              </w:rPr>
              <w:t>si</w:t>
            </w:r>
            <w:proofErr w:type="spellEnd"/>
            <w:r w:rsidRPr="007306AF">
              <w:rPr>
                <w:sz w:val="20"/>
                <w:szCs w:val="20"/>
              </w:rPr>
              <w:t xml:space="preserve"> 2, </w:t>
            </w:r>
            <w:proofErr w:type="spellStart"/>
            <w:r w:rsidRPr="007306AF">
              <w:rPr>
                <w:sz w:val="20"/>
                <w:szCs w:val="20"/>
              </w:rPr>
              <w:t>mezanin</w:t>
            </w:r>
            <w:proofErr w:type="spellEnd"/>
            <w:r w:rsidRPr="007306A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6AF">
              <w:rPr>
                <w:sz w:val="20"/>
                <w:szCs w:val="20"/>
              </w:rPr>
              <w:t>b-</w:t>
            </w:r>
            <w:proofErr w:type="spellStart"/>
            <w:r w:rsidRPr="007306AF">
              <w:rPr>
                <w:sz w:val="20"/>
                <w:szCs w:val="20"/>
              </w:rPr>
              <w:t>dul</w:t>
            </w:r>
            <w:proofErr w:type="spellEnd"/>
            <w:r w:rsidRPr="007306AF">
              <w:rPr>
                <w:sz w:val="20"/>
                <w:szCs w:val="20"/>
              </w:rPr>
              <w:t xml:space="preserve"> IC </w:t>
            </w:r>
            <w:proofErr w:type="spellStart"/>
            <w:r w:rsidRPr="007306AF">
              <w:rPr>
                <w:sz w:val="20"/>
                <w:szCs w:val="20"/>
              </w:rPr>
              <w:t>Bratianu</w:t>
            </w:r>
            <w:proofErr w:type="spellEnd"/>
            <w:r w:rsidRPr="007306AF">
              <w:rPr>
                <w:sz w:val="20"/>
                <w:szCs w:val="20"/>
              </w:rPr>
              <w:t xml:space="preserve">, bloc A2, </w:t>
            </w:r>
            <w:proofErr w:type="spellStart"/>
            <w:r w:rsidRPr="007306AF">
              <w:rPr>
                <w:sz w:val="20"/>
                <w:szCs w:val="20"/>
              </w:rPr>
              <w:t>scara</w:t>
            </w:r>
            <w:proofErr w:type="spellEnd"/>
            <w:r w:rsidRPr="007306AF">
              <w:rPr>
                <w:sz w:val="20"/>
                <w:szCs w:val="20"/>
              </w:rPr>
              <w:t xml:space="preserve"> A,  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7306AF">
              <w:rPr>
                <w:sz w:val="20"/>
                <w:szCs w:val="20"/>
              </w:rPr>
              <w:t>Parter</w:t>
            </w:r>
            <w:proofErr w:type="spellEnd"/>
            <w:r w:rsidRPr="007306AF">
              <w:rPr>
                <w:sz w:val="20"/>
                <w:szCs w:val="20"/>
              </w:rPr>
              <w:t xml:space="preserve"> </w:t>
            </w:r>
            <w:proofErr w:type="spellStart"/>
            <w:r w:rsidRPr="007306AF">
              <w:rPr>
                <w:sz w:val="20"/>
                <w:szCs w:val="20"/>
              </w:rPr>
              <w:t>si</w:t>
            </w:r>
            <w:proofErr w:type="spellEnd"/>
            <w:r w:rsidRPr="007306AF">
              <w:rPr>
                <w:sz w:val="20"/>
                <w:szCs w:val="20"/>
              </w:rPr>
              <w:t xml:space="preserve"> </w:t>
            </w:r>
            <w:proofErr w:type="spellStart"/>
            <w:r w:rsidRPr="007306AF">
              <w:rPr>
                <w:sz w:val="20"/>
                <w:szCs w:val="20"/>
              </w:rPr>
              <w:t>Mezanin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7306AF">
              <w:rPr>
                <w:sz w:val="20"/>
                <w:szCs w:val="20"/>
              </w:rPr>
              <w:t>73,31</w:t>
            </w:r>
          </w:p>
          <w:p w:rsidR="001858A0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858A0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color w:val="FF0000"/>
                <w:sz w:val="20"/>
                <w:szCs w:val="20"/>
              </w:rPr>
            </w:pPr>
            <w:r w:rsidRPr="007306AF">
              <w:rPr>
                <w:sz w:val="20"/>
                <w:szCs w:val="20"/>
              </w:rPr>
              <w:t xml:space="preserve">153,13 </w:t>
            </w:r>
          </w:p>
        </w:tc>
        <w:tc>
          <w:tcPr>
            <w:tcW w:w="1440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06AF">
              <w:rPr>
                <w:b/>
                <w:sz w:val="20"/>
                <w:szCs w:val="20"/>
              </w:rPr>
              <w:t>83452-C1-U22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1858A0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06AF">
              <w:rPr>
                <w:b/>
                <w:sz w:val="20"/>
                <w:szCs w:val="20"/>
              </w:rPr>
              <w:t>83452-C1-U10</w:t>
            </w:r>
          </w:p>
        </w:tc>
        <w:tc>
          <w:tcPr>
            <w:tcW w:w="1620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E6B84">
              <w:rPr>
                <w:b/>
                <w:i/>
                <w:sz w:val="20"/>
                <w:szCs w:val="20"/>
              </w:rPr>
              <w:t>7,16%</w:t>
            </w:r>
            <w:r w:rsidRPr="007306AF">
              <w:rPr>
                <w:sz w:val="20"/>
                <w:szCs w:val="20"/>
              </w:rPr>
              <w:t xml:space="preserve"> x 326,44</w:t>
            </w:r>
            <w:r w:rsidRPr="007306AF">
              <w:rPr>
                <w:b/>
                <w:sz w:val="20"/>
                <w:szCs w:val="20"/>
              </w:rPr>
              <w:t xml:space="preserve"> = 23,37 mp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35041,95</w:t>
            </w:r>
          </w:p>
        </w:tc>
      </w:tr>
      <w:tr w:rsidR="001858A0" w:rsidRPr="007306AF" w:rsidTr="00352E4E">
        <w:trPr>
          <w:trHeight w:val="849"/>
          <w:jc w:val="center"/>
        </w:trPr>
        <w:tc>
          <w:tcPr>
            <w:tcW w:w="183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Arhiva</w:t>
            </w:r>
            <w:proofErr w:type="spellEnd"/>
          </w:p>
        </w:tc>
        <w:tc>
          <w:tcPr>
            <w:tcW w:w="171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6AF">
              <w:rPr>
                <w:sz w:val="20"/>
                <w:szCs w:val="20"/>
              </w:rPr>
              <w:t>b-</w:t>
            </w:r>
            <w:proofErr w:type="spellStart"/>
            <w:r w:rsidRPr="007306AF">
              <w:rPr>
                <w:sz w:val="20"/>
                <w:szCs w:val="20"/>
              </w:rPr>
              <w:t>dul</w:t>
            </w:r>
            <w:proofErr w:type="spellEnd"/>
            <w:r w:rsidRPr="007306AF">
              <w:rPr>
                <w:sz w:val="20"/>
                <w:szCs w:val="20"/>
              </w:rPr>
              <w:t xml:space="preserve"> IC </w:t>
            </w:r>
            <w:proofErr w:type="spellStart"/>
            <w:r w:rsidRPr="007306AF">
              <w:rPr>
                <w:sz w:val="20"/>
                <w:szCs w:val="20"/>
              </w:rPr>
              <w:t>Bratianu</w:t>
            </w:r>
            <w:proofErr w:type="spellEnd"/>
            <w:r w:rsidRPr="007306AF">
              <w:rPr>
                <w:sz w:val="20"/>
                <w:szCs w:val="20"/>
              </w:rPr>
              <w:t>, bloc A</w:t>
            </w:r>
            <w:r>
              <w:rPr>
                <w:sz w:val="20"/>
                <w:szCs w:val="20"/>
              </w:rPr>
              <w:t>3</w:t>
            </w:r>
            <w:r w:rsidRPr="007306AF">
              <w:rPr>
                <w:sz w:val="20"/>
                <w:szCs w:val="20"/>
              </w:rPr>
              <w:t xml:space="preserve">, </w:t>
            </w:r>
            <w:proofErr w:type="spellStart"/>
            <w:r w:rsidRPr="007306AF">
              <w:rPr>
                <w:sz w:val="20"/>
                <w:szCs w:val="20"/>
              </w:rPr>
              <w:t>scara</w:t>
            </w:r>
            <w:proofErr w:type="spellEnd"/>
            <w:r w:rsidRPr="007306AF">
              <w:rPr>
                <w:sz w:val="20"/>
                <w:szCs w:val="20"/>
              </w:rPr>
              <w:t xml:space="preserve"> A, </w:t>
            </w:r>
            <w:proofErr w:type="spellStart"/>
            <w:r w:rsidRPr="007306AF">
              <w:rPr>
                <w:sz w:val="20"/>
                <w:szCs w:val="20"/>
              </w:rPr>
              <w:t>Mezanin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1858A0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8,00 </w:t>
            </w:r>
          </w:p>
        </w:tc>
        <w:tc>
          <w:tcPr>
            <w:tcW w:w="1440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80222-C1-U13</w:t>
            </w:r>
          </w:p>
        </w:tc>
        <w:tc>
          <w:tcPr>
            <w:tcW w:w="1620" w:type="dxa"/>
          </w:tcPr>
          <w:p w:rsidR="001858A0" w:rsidRPr="00B83BD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83BDF">
              <w:rPr>
                <w:b/>
                <w:sz w:val="20"/>
                <w:szCs w:val="20"/>
              </w:rPr>
              <w:t>8 mp</w:t>
            </w:r>
          </w:p>
        </w:tc>
        <w:tc>
          <w:tcPr>
            <w:tcW w:w="1306" w:type="dxa"/>
          </w:tcPr>
          <w:p w:rsidR="001858A0" w:rsidRPr="00B83BD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12098,76</w:t>
            </w:r>
          </w:p>
        </w:tc>
      </w:tr>
    </w:tbl>
    <w:p w:rsidR="001858A0" w:rsidRDefault="001858A0" w:rsidP="001858A0">
      <w:pPr>
        <w:tabs>
          <w:tab w:val="left" w:pos="166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1858A0" w:rsidRDefault="001858A0" w:rsidP="001858A0">
      <w:pPr>
        <w:spacing w:after="0" w:line="240" w:lineRule="auto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spacing w:after="0" w:line="240" w:lineRule="auto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spacing w:after="0" w:line="240" w:lineRule="auto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  <w:lang w:val="fr-FR"/>
        </w:rPr>
        <w:t xml:space="preserve"> </w:t>
      </w:r>
    </w:p>
    <w:p w:rsidR="001858A0" w:rsidRDefault="001858A0" w:rsidP="001858A0">
      <w:pPr>
        <w:spacing w:after="0" w:line="240" w:lineRule="auto"/>
        <w:rPr>
          <w:rFonts w:ascii="Times New Roman" w:hAnsi="Times New Roman"/>
          <w:sz w:val="28"/>
          <w:szCs w:val="28"/>
          <w:lang w:val="fr-FR"/>
        </w:rPr>
      </w:pPr>
    </w:p>
    <w:p w:rsidR="001858A0" w:rsidRPr="001D199E" w:rsidRDefault="001858A0" w:rsidP="001858A0">
      <w:pPr>
        <w:spacing w:after="0" w:line="240" w:lineRule="auto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Pr="000B7BC6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center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858A0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Pr="00D31781" w:rsidRDefault="001858A0" w:rsidP="001858A0">
      <w:pPr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Judeţul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Argeş</w:t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  <w:t xml:space="preserve">           Casa Județ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eană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Pensii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>ș</w:t>
      </w:r>
    </w:p>
    <w:p w:rsidR="001858A0" w:rsidRPr="00D31781" w:rsidRDefault="001858A0" w:rsidP="001858A0">
      <w:pPr>
        <w:spacing w:after="0" w:line="240" w:lineRule="auto"/>
        <w:jc w:val="both"/>
        <w:rPr>
          <w:rStyle w:val="ln2tparagraf"/>
          <w:rFonts w:ascii="Times New Roman" w:hAnsi="Times New Roman"/>
          <w:sz w:val="24"/>
          <w:szCs w:val="24"/>
          <w:lang w:val="fr-FR"/>
        </w:rPr>
      </w:pPr>
      <w:r w:rsidRPr="00D31781">
        <w:rPr>
          <w:rStyle w:val="ln2tparagraf"/>
          <w:rFonts w:ascii="Times New Roman" w:hAnsi="Times New Roman"/>
          <w:sz w:val="24"/>
          <w:szCs w:val="24"/>
          <w:lang w:val="fr-FR"/>
        </w:rPr>
        <w:t>Nr…..…/………</w:t>
      </w:r>
      <w:r w:rsidRPr="00D31781">
        <w:rPr>
          <w:rStyle w:val="ln2tparagraf"/>
          <w:rFonts w:ascii="Times New Roman" w:hAnsi="Times New Roman"/>
          <w:sz w:val="24"/>
          <w:szCs w:val="24"/>
          <w:lang w:val="fr-FR"/>
        </w:rPr>
        <w:tab/>
      </w:r>
      <w:r w:rsidRPr="00D31781">
        <w:rPr>
          <w:rStyle w:val="ln2tparagraf"/>
          <w:rFonts w:ascii="Times New Roman" w:hAnsi="Times New Roman"/>
          <w:sz w:val="24"/>
          <w:szCs w:val="24"/>
          <w:lang w:val="fr-FR"/>
        </w:rPr>
        <w:tab/>
      </w:r>
      <w:r w:rsidRPr="00D31781">
        <w:rPr>
          <w:rStyle w:val="ln2tparagraf"/>
          <w:rFonts w:ascii="Times New Roman" w:hAnsi="Times New Roman"/>
          <w:sz w:val="24"/>
          <w:szCs w:val="24"/>
          <w:lang w:val="fr-FR"/>
        </w:rPr>
        <w:tab/>
        <w:t xml:space="preserve">                                            Nr…………</w:t>
      </w:r>
      <w:proofErr w:type="gramStart"/>
      <w:r w:rsidRPr="00D31781">
        <w:rPr>
          <w:rStyle w:val="ln2tparagraf"/>
          <w:rFonts w:ascii="Times New Roman" w:hAnsi="Times New Roman"/>
          <w:sz w:val="24"/>
          <w:szCs w:val="24"/>
          <w:lang w:val="fr-FR"/>
        </w:rPr>
        <w:t>./</w:t>
      </w:r>
      <w:proofErr w:type="gramEnd"/>
      <w:r w:rsidRPr="00D31781">
        <w:rPr>
          <w:rStyle w:val="ln2tparagraf"/>
          <w:rFonts w:ascii="Times New Roman" w:hAnsi="Times New Roman"/>
          <w:sz w:val="24"/>
          <w:szCs w:val="24"/>
          <w:lang w:val="fr-FR"/>
        </w:rPr>
        <w:t>……………</w:t>
      </w:r>
    </w:p>
    <w:p w:rsidR="001858A0" w:rsidRPr="00D31781" w:rsidRDefault="001858A0" w:rsidP="001858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>PROTOCOL</w:t>
      </w:r>
    </w:p>
    <w:p w:rsidR="001858A0" w:rsidRPr="00D31781" w:rsidRDefault="001858A0" w:rsidP="001858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Încheiat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astăzi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>..............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1.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Părţile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protocolului</w:t>
      </w:r>
      <w:proofErr w:type="spellEnd"/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Judeţul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Argeş,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prin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Consiliul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Judeţean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Argeş</w:t>
      </w:r>
      <w:r w:rsidRPr="00D31781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sediul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Piteşti,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Piaţa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Vasile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Milea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nr.1, tel. 0248/217800, CUI 4229512,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reprezentat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dl. </w:t>
      </w: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Ion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Mînzînă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D31781">
        <w:rPr>
          <w:rFonts w:ascii="Times New Roman" w:hAnsi="Times New Roman"/>
          <w:sz w:val="24"/>
          <w:szCs w:val="24"/>
          <w:lang w:val="fr-FR"/>
        </w:rPr>
        <w:t xml:space="preserve">-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Preşedinte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calitate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proprietar</w:t>
      </w:r>
      <w:proofErr w:type="spellEnd"/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>și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Casa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Judeţeană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Pensii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Argeş</w:t>
      </w:r>
      <w:r w:rsidRPr="00D31781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sediul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Piteşti, B-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I.C.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Brătianu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nr. 38,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reprezentată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doamna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Aida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Enache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D31781">
        <w:rPr>
          <w:rFonts w:ascii="Times New Roman" w:hAnsi="Times New Roman"/>
          <w:sz w:val="24"/>
          <w:szCs w:val="24"/>
          <w:lang w:val="fr-FR"/>
        </w:rPr>
        <w:t xml:space="preserve">–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Director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executiv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,</w:t>
      </w:r>
      <w:r w:rsidRPr="00D31781">
        <w:rPr>
          <w:rStyle w:val="ln2punct1"/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Style w:val="ln2tpunct"/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Style w:val="ln2tpunct"/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Style w:val="ln2tpunct"/>
          <w:rFonts w:ascii="Times New Roman" w:hAnsi="Times New Roman"/>
          <w:sz w:val="24"/>
          <w:szCs w:val="24"/>
          <w:lang w:val="fr-FR"/>
        </w:rPr>
        <w:t>calitate</w:t>
      </w:r>
      <w:proofErr w:type="spellEnd"/>
      <w:r w:rsidRPr="00D31781">
        <w:rPr>
          <w:rStyle w:val="ln2tpunct"/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9A1649">
        <w:rPr>
          <w:rFonts w:ascii="Times New Roman" w:hAnsi="Times New Roman"/>
          <w:sz w:val="24"/>
          <w:szCs w:val="24"/>
          <w:lang w:val="fr-FR"/>
        </w:rPr>
        <w:t>titular</w:t>
      </w:r>
      <w:proofErr w:type="spellEnd"/>
      <w:r w:rsidRPr="009A1649">
        <w:rPr>
          <w:rFonts w:ascii="Times New Roman" w:hAnsi="Times New Roman"/>
          <w:sz w:val="24"/>
          <w:szCs w:val="24"/>
          <w:lang w:val="fr-FR"/>
        </w:rPr>
        <w:t xml:space="preserve"> al </w:t>
      </w:r>
      <w:proofErr w:type="spellStart"/>
      <w:r w:rsidRPr="009A1649">
        <w:rPr>
          <w:rFonts w:ascii="Times New Roman" w:hAnsi="Times New Roman"/>
          <w:sz w:val="24"/>
          <w:szCs w:val="24"/>
          <w:lang w:val="fr-FR"/>
        </w:rPr>
        <w:t>dreptului</w:t>
      </w:r>
      <w:proofErr w:type="spellEnd"/>
      <w:r w:rsidRPr="009A1649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9A1649">
        <w:rPr>
          <w:rFonts w:ascii="Times New Roman" w:hAnsi="Times New Roman"/>
          <w:sz w:val="24"/>
          <w:szCs w:val="24"/>
          <w:lang w:val="fr-FR"/>
        </w:rPr>
        <w:t>folosinţă</w:t>
      </w:r>
      <w:proofErr w:type="spellEnd"/>
      <w:r w:rsidRPr="009A164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9A1649">
        <w:rPr>
          <w:rFonts w:ascii="Times New Roman" w:hAnsi="Times New Roman"/>
          <w:sz w:val="24"/>
          <w:szCs w:val="24"/>
          <w:lang w:val="fr-FR"/>
        </w:rPr>
        <w:t>gratuită</w:t>
      </w:r>
      <w:proofErr w:type="spellEnd"/>
      <w:r w:rsidRPr="009A1649">
        <w:rPr>
          <w:rStyle w:val="ln2tpunct"/>
          <w:rFonts w:ascii="Times New Roman" w:hAnsi="Times New Roman"/>
          <w:sz w:val="24"/>
          <w:szCs w:val="24"/>
          <w:lang w:val="fr-FR"/>
        </w:rPr>
        <w:t>,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2.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Obiectul</w:t>
      </w:r>
      <w:proofErr w:type="spellEnd"/>
      <w:r w:rsidRPr="00D3178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protocolului</w:t>
      </w:r>
      <w:proofErr w:type="spellEnd"/>
      <w:r w:rsidRPr="00D3178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şi</w:t>
      </w:r>
      <w:proofErr w:type="spellEnd"/>
      <w:r w:rsidRPr="00D3178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baza</w:t>
      </w:r>
      <w:proofErr w:type="spellEnd"/>
      <w:r w:rsidRPr="00D3178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legală</w:t>
      </w:r>
      <w:proofErr w:type="spellEnd"/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proofErr w:type="gramStart"/>
      <w:r w:rsidRPr="00D31781">
        <w:rPr>
          <w:rFonts w:ascii="Times New Roman" w:hAnsi="Times New Roman"/>
          <w:sz w:val="24"/>
          <w:szCs w:val="24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</w:rPr>
        <w:t xml:space="preserve"> </w:t>
      </w:r>
      <w:r w:rsidRPr="00D31781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D31781">
        <w:rPr>
          <w:rStyle w:val="Strong"/>
          <w:rFonts w:ascii="Times New Roman" w:hAnsi="Times New Roman"/>
          <w:b w:val="0"/>
          <w:sz w:val="24"/>
          <w:szCs w:val="24"/>
        </w:rPr>
        <w:t>temeiul</w:t>
      </w:r>
      <w:proofErr w:type="spellEnd"/>
      <w:proofErr w:type="gramEnd"/>
      <w:r w:rsidRPr="00D31781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D31781">
        <w:rPr>
          <w:rStyle w:val="Strong"/>
          <w:rFonts w:ascii="Times New Roman" w:hAnsi="Times New Roman"/>
          <w:b w:val="0"/>
          <w:sz w:val="24"/>
          <w:szCs w:val="24"/>
        </w:rPr>
        <w:t>prevederilor</w:t>
      </w:r>
      <w:proofErr w:type="spellEnd"/>
      <w:r w:rsidRPr="00D31781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Pr="00D31781">
        <w:rPr>
          <w:rStyle w:val="Strong"/>
          <w:rFonts w:ascii="Times New Roman" w:hAnsi="Times New Roman"/>
          <w:b w:val="0"/>
          <w:sz w:val="24"/>
          <w:szCs w:val="24"/>
          <w:lang w:val="ro-RO"/>
        </w:rPr>
        <w:t xml:space="preserve">art. 173 alin. 1 lit. a și c, art. 182 alin. 1, art. 196 alin. 1 lit. a, art. 297 alin. 1 lit. d, art. 362 alin. 2 și 3 </w:t>
      </w:r>
      <w:r w:rsidRPr="00607A1B">
        <w:rPr>
          <w:rStyle w:val="Strong"/>
          <w:rFonts w:ascii="Times New Roman" w:hAnsi="Times New Roman"/>
          <w:b w:val="0"/>
          <w:sz w:val="24"/>
          <w:szCs w:val="24"/>
          <w:lang w:val="ro-RO"/>
        </w:rPr>
        <w:t>din O</w:t>
      </w:r>
      <w:r w:rsidRPr="00607A1B">
        <w:rPr>
          <w:rFonts w:ascii="Times New Roman" w:hAnsi="Times New Roman"/>
          <w:bCs/>
          <w:sz w:val="24"/>
          <w:szCs w:val="24"/>
          <w:shd w:val="clear" w:color="auto" w:fill="FFFFFF"/>
          <w:lang w:val="ro-RO"/>
        </w:rPr>
        <w:t xml:space="preserve">rdonanţa de urgenţă nr. 57 din 3 iulie 2019 </w:t>
      </w:r>
      <w:r w:rsidRPr="00607A1B">
        <w:rPr>
          <w:rFonts w:ascii="Times New Roman" w:hAnsi="Times New Roman"/>
          <w:bCs/>
          <w:i/>
          <w:sz w:val="24"/>
          <w:szCs w:val="24"/>
          <w:lang w:val="ro-RO"/>
        </w:rPr>
        <w:t>privind Codul administrativ</w:t>
      </w:r>
      <w:r w:rsidRPr="00D31781">
        <w:rPr>
          <w:rFonts w:ascii="Times New Roman" w:hAnsi="Times New Roman"/>
          <w:sz w:val="24"/>
          <w:szCs w:val="24"/>
          <w:lang w:val="ro-RO"/>
        </w:rPr>
        <w:t xml:space="preserve">, prezentul protocol s-a încheiat în baza Hotărârii Consiliului Judeţean Argeş nr. ................ Obiectul protocolului este </w:t>
      </w:r>
      <w:r>
        <w:rPr>
          <w:rFonts w:ascii="Times New Roman" w:hAnsi="Times New Roman"/>
          <w:sz w:val="24"/>
          <w:szCs w:val="24"/>
          <w:lang w:val="ro-RO"/>
        </w:rPr>
        <w:t>costituirea dreptului de</w:t>
      </w:r>
      <w:r w:rsidRPr="00D31781">
        <w:rPr>
          <w:rFonts w:ascii="Times New Roman" w:hAnsi="Times New Roman"/>
          <w:sz w:val="24"/>
          <w:szCs w:val="24"/>
          <w:lang w:val="ro-RO"/>
        </w:rPr>
        <w:t xml:space="preserve"> folosinţă gratuită, pe o perioadă de 3 ani, </w:t>
      </w:r>
      <w:r>
        <w:rPr>
          <w:rFonts w:ascii="Times New Roman" w:hAnsi="Times New Roman"/>
          <w:sz w:val="24"/>
          <w:szCs w:val="24"/>
          <w:lang w:val="ro-RO"/>
        </w:rPr>
        <w:t xml:space="preserve">în favoarea </w:t>
      </w:r>
      <w:r w:rsidRPr="00D31781">
        <w:rPr>
          <w:rFonts w:ascii="Times New Roman" w:hAnsi="Times New Roman"/>
          <w:b/>
          <w:sz w:val="24"/>
          <w:szCs w:val="24"/>
          <w:lang w:val="ro-RO"/>
        </w:rPr>
        <w:t xml:space="preserve">Casei Judeţene de Pensii Argeş,  </w:t>
      </w:r>
      <w:r w:rsidRPr="00D31781">
        <w:rPr>
          <w:rFonts w:ascii="Times New Roman" w:hAnsi="Times New Roman"/>
          <w:color w:val="000000"/>
          <w:sz w:val="24"/>
          <w:szCs w:val="24"/>
          <w:lang w:val="ro-RO"/>
        </w:rPr>
        <w:t>a</w:t>
      </w:r>
      <w:r>
        <w:rPr>
          <w:rFonts w:ascii="Times New Roman" w:hAnsi="Times New Roman"/>
          <w:color w:val="000000"/>
          <w:sz w:val="24"/>
          <w:szCs w:val="24"/>
          <w:lang w:val="ro-RO"/>
        </w:rPr>
        <w:t>supra</w:t>
      </w:r>
      <w:r w:rsidRPr="00D31781">
        <w:rPr>
          <w:rFonts w:ascii="Times New Roman" w:hAnsi="Times New Roman"/>
          <w:color w:val="000000"/>
          <w:sz w:val="24"/>
          <w:szCs w:val="24"/>
          <w:lang w:val="ro-RO"/>
        </w:rPr>
        <w:t xml:space="preserve"> unor </w:t>
      </w:r>
      <w:r w:rsidRPr="00D31781">
        <w:rPr>
          <w:rFonts w:ascii="Times New Roman" w:hAnsi="Times New Roman"/>
          <w:sz w:val="24"/>
          <w:szCs w:val="24"/>
          <w:lang w:val="ro-RO"/>
        </w:rPr>
        <w:t xml:space="preserve">spații situate în incinta Policlinicii 2 (suprafața proprie 182 mp, conform CF </w:t>
      </w:r>
      <w:r w:rsidRPr="00607A1B">
        <w:rPr>
          <w:rFonts w:ascii="Times New Roman" w:hAnsi="Times New Roman"/>
          <w:sz w:val="24"/>
          <w:szCs w:val="24"/>
          <w:lang w:val="ro-RO"/>
        </w:rPr>
        <w:t xml:space="preserve">83452-C1-U15, 83452-C1-U8 și 80222-C1-U13 și cotă parte din </w:t>
      </w:r>
      <w:r w:rsidRPr="00D31781">
        <w:rPr>
          <w:rFonts w:ascii="Times New Roman" w:hAnsi="Times New Roman"/>
          <w:sz w:val="24"/>
          <w:szCs w:val="24"/>
          <w:lang w:val="ro-RO"/>
        </w:rPr>
        <w:t xml:space="preserve">CF </w:t>
      </w:r>
      <w:r w:rsidRPr="00607A1B">
        <w:rPr>
          <w:rFonts w:ascii="Times New Roman" w:hAnsi="Times New Roman"/>
          <w:sz w:val="24"/>
          <w:szCs w:val="24"/>
          <w:lang w:val="ro-RO"/>
        </w:rPr>
        <w:t xml:space="preserve">83452-C1-U22 și </w:t>
      </w:r>
      <w:r w:rsidRPr="00D31781">
        <w:rPr>
          <w:rFonts w:ascii="Times New Roman" w:hAnsi="Times New Roman"/>
          <w:sz w:val="24"/>
          <w:szCs w:val="24"/>
          <w:lang w:val="ro-RO"/>
        </w:rPr>
        <w:t xml:space="preserve">CF </w:t>
      </w:r>
      <w:r w:rsidRPr="00607A1B">
        <w:rPr>
          <w:rFonts w:ascii="Times New Roman" w:hAnsi="Times New Roman"/>
          <w:sz w:val="24"/>
          <w:szCs w:val="24"/>
          <w:lang w:val="ro-RO"/>
        </w:rPr>
        <w:t>83452-C1-U10, respectiv o suprafață de 23,37 mp)</w:t>
      </w:r>
      <w:r w:rsidRPr="00D31781">
        <w:rPr>
          <w:rFonts w:ascii="Times New Roman" w:hAnsi="Times New Roman"/>
          <w:sz w:val="24"/>
          <w:szCs w:val="24"/>
          <w:lang w:val="ro-RO"/>
        </w:rPr>
        <w:t>, imobil situat în municipiul Piteşti, b-dul I.C. Brătianu nr. 18-20-22 şi aflat în domeniul privat al judeţului Argeş</w:t>
      </w:r>
      <w:r w:rsidRPr="00D31781">
        <w:rPr>
          <w:rFonts w:ascii="Times New Roman" w:hAnsi="Times New Roman"/>
          <w:color w:val="000000"/>
          <w:sz w:val="24"/>
          <w:szCs w:val="24"/>
          <w:lang w:val="ro-RO"/>
        </w:rPr>
        <w:t>, identificat conform Anexei nr. 1,</w:t>
      </w:r>
      <w:r w:rsidRPr="00D31781">
        <w:rPr>
          <w:rFonts w:ascii="Times New Roman" w:hAnsi="Times New Roman"/>
          <w:sz w:val="24"/>
          <w:szCs w:val="24"/>
          <w:lang w:val="ro-RO"/>
        </w:rPr>
        <w:t xml:space="preserve"> parte integrantă din Hotărârea Consiliului Judeţean Argeş nr. …..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3.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Destinaţia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bunului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dat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folosinţă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gratuită</w:t>
      </w:r>
      <w:proofErr w:type="spellEnd"/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Transmiterea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folosinţă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gratuită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s-a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făcut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vederea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continuării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activităţii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gramStart"/>
      <w:r w:rsidRPr="00D31781">
        <w:rPr>
          <w:rFonts w:ascii="Times New Roman" w:hAnsi="Times New Roman"/>
          <w:sz w:val="24"/>
          <w:szCs w:val="24"/>
          <w:lang w:val="fr-FR"/>
        </w:rPr>
        <w:t>a</w:t>
      </w:r>
      <w:proofErr w:type="gram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bunei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funcţionări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Comisiei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Expertiză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Medicală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Capacităţii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Muncă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.  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Destinaţia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bunului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atribuit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folosinţă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gratuită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nu va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putea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fi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schimbată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caz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care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prezentul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protocol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reziliat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unilateral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.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Bunul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predat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bază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proces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verbal ce va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constitui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Anexă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prezentul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protocol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.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4.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Obligaţii</w:t>
      </w:r>
      <w:proofErr w:type="spellEnd"/>
      <w:r w:rsidRPr="00D3178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şi</w:t>
      </w:r>
      <w:proofErr w:type="spellEnd"/>
      <w:r w:rsidRPr="00D3178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drepturi</w:t>
      </w:r>
      <w:proofErr w:type="spellEnd"/>
    </w:p>
    <w:p w:rsidR="001858A0" w:rsidRPr="00D31781" w:rsidRDefault="001858A0" w:rsidP="001858A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Obligaţiile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Casei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ene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Pensii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>ș:</w:t>
      </w:r>
    </w:p>
    <w:p w:rsidR="001858A0" w:rsidRPr="00D31781" w:rsidRDefault="001858A0" w:rsidP="001858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folosească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bunurile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potrivit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destinaţiei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în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vederea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căreia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i-a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fost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acordată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folosinţa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gratuită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;</w:t>
      </w:r>
    </w:p>
    <w:p w:rsidR="001858A0" w:rsidRPr="00D31781" w:rsidRDefault="001858A0" w:rsidP="001858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permită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accesul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reprezentan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ț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ilor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Consiliului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Județ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ean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Arge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ș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pentru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efectuarea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controlului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asupra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bunurilor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;</w:t>
      </w:r>
    </w:p>
    <w:p w:rsidR="001858A0" w:rsidRPr="00D31781" w:rsidRDefault="001858A0" w:rsidP="001858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nu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modifice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bunurile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în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parte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ori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în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integralitatea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lor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;</w:t>
      </w:r>
    </w:p>
    <w:p w:rsidR="001858A0" w:rsidRPr="00D31781" w:rsidRDefault="001858A0" w:rsidP="001858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la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încetarea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folosinţei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gratuite,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restituie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bunurile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în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starea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în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care le-au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primit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în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afară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ceea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ce a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pierit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sau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s-a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deteriorat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din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cauza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vechimii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şi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libere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orice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sarcini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;</w:t>
      </w:r>
    </w:p>
    <w:p w:rsidR="001858A0" w:rsidRPr="00D31781" w:rsidRDefault="001858A0" w:rsidP="001858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titularul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dreptului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folosinţă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gratuită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are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obligaţia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de a informa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Consiliul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Județ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ean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Arge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ș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cu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privire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la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orice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tulburare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adusă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dreptului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proprietate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publică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precum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şi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la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lastRenderedPageBreak/>
        <w:t>existenţa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unor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cauze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sau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iminenţa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producerii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unor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evenimente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natură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conducă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la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imposibilitatea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exploatării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bunurilor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;</w:t>
      </w:r>
    </w:p>
    <w:p w:rsidR="001858A0" w:rsidRPr="00D31781" w:rsidRDefault="001858A0" w:rsidP="001858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folosinţa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dobândită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în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baza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hotărârii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consiliului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jude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ț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ean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nu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poate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fi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transmisă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nici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oneros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şi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nici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cu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titlu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gratuit,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unei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alte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persoane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;</w:t>
      </w:r>
    </w:p>
    <w:p w:rsidR="001858A0" w:rsidRPr="00D31781" w:rsidRDefault="001858A0" w:rsidP="001858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efectueze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pe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cheltuiala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sa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lucrările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repara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ții ale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imobilelor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;</w:t>
      </w:r>
    </w:p>
    <w:p w:rsidR="001858A0" w:rsidRPr="00D31781" w:rsidRDefault="001858A0" w:rsidP="001858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suporte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cheltuielile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între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inere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gramStart"/>
      <w:r w:rsidRPr="00D31781">
        <w:rPr>
          <w:rFonts w:ascii="Times New Roman" w:hAnsi="Times New Roman"/>
          <w:sz w:val="24"/>
          <w:szCs w:val="24"/>
          <w:lang w:val="fr-FR"/>
        </w:rPr>
        <w:t>a</w:t>
      </w:r>
      <w:proofErr w:type="gram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imobilelor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;</w:t>
      </w:r>
    </w:p>
    <w:p w:rsidR="001858A0" w:rsidRPr="00607A1B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>4.2.</w:t>
      </w:r>
      <w:r w:rsidRPr="00D317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</w:rPr>
        <w:t>Obligaţiile</w:t>
      </w:r>
      <w:proofErr w:type="spellEnd"/>
      <w:r w:rsidRPr="00D317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Județului</w:t>
      </w:r>
      <w:proofErr w:type="spellEnd"/>
      <w:r w:rsidRPr="00D3178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Argeş</w:t>
      </w:r>
      <w:proofErr w:type="spellEnd"/>
      <w:r w:rsidRPr="00D31781">
        <w:rPr>
          <w:rFonts w:ascii="Times New Roman" w:hAnsi="Times New Roman"/>
          <w:sz w:val="24"/>
          <w:szCs w:val="24"/>
        </w:rPr>
        <w:t>:</w:t>
      </w:r>
    </w:p>
    <w:p w:rsidR="001858A0" w:rsidRPr="00607A1B" w:rsidRDefault="001858A0" w:rsidP="001858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607A1B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r w:rsidRPr="00607A1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607A1B">
        <w:rPr>
          <w:rFonts w:ascii="Times New Roman" w:hAnsi="Times New Roman"/>
          <w:sz w:val="24"/>
          <w:szCs w:val="24"/>
          <w:lang w:val="fr-FR"/>
        </w:rPr>
        <w:t>predea</w:t>
      </w:r>
      <w:proofErr w:type="spellEnd"/>
      <w:r w:rsidRPr="00607A1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607A1B">
        <w:rPr>
          <w:rFonts w:ascii="Times New Roman" w:hAnsi="Times New Roman"/>
          <w:sz w:val="24"/>
          <w:szCs w:val="24"/>
          <w:lang w:val="fr-FR"/>
        </w:rPr>
        <w:t>bunurile</w:t>
      </w:r>
      <w:proofErr w:type="spellEnd"/>
      <w:r w:rsidRPr="00607A1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607A1B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607A1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607A1B">
        <w:rPr>
          <w:rFonts w:ascii="Times New Roman" w:hAnsi="Times New Roman"/>
          <w:sz w:val="24"/>
          <w:szCs w:val="24"/>
          <w:lang w:val="fr-FR"/>
        </w:rPr>
        <w:t>bază</w:t>
      </w:r>
      <w:proofErr w:type="spellEnd"/>
      <w:r w:rsidRPr="00607A1B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607A1B">
        <w:rPr>
          <w:rFonts w:ascii="Times New Roman" w:hAnsi="Times New Roman"/>
          <w:sz w:val="24"/>
          <w:szCs w:val="24"/>
          <w:lang w:val="fr-FR"/>
        </w:rPr>
        <w:t>proces</w:t>
      </w:r>
      <w:proofErr w:type="spellEnd"/>
      <w:r w:rsidRPr="00607A1B">
        <w:rPr>
          <w:rFonts w:ascii="Times New Roman" w:hAnsi="Times New Roman"/>
          <w:sz w:val="24"/>
          <w:szCs w:val="24"/>
          <w:lang w:val="fr-FR"/>
        </w:rPr>
        <w:t xml:space="preserve"> verbal;</w:t>
      </w:r>
    </w:p>
    <w:p w:rsidR="001858A0" w:rsidRPr="00D31781" w:rsidRDefault="001858A0" w:rsidP="001858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verifice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modul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în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care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sunt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respectate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condiţiile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folosinţă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stabilite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prin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actul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dare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în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folosinţă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gratuită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şi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prin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lege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;</w:t>
      </w:r>
    </w:p>
    <w:p w:rsidR="001858A0" w:rsidRPr="00D31781" w:rsidRDefault="001858A0" w:rsidP="001858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să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solicite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încetarea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folosinţei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gratuite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şi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restituirea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bunurilor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atunci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când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interesul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public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legitim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o </w:t>
      </w:r>
      <w:proofErr w:type="spellStart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impune</w:t>
      </w:r>
      <w:proofErr w:type="spellEnd"/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;</w:t>
      </w:r>
    </w:p>
    <w:p w:rsidR="001858A0" w:rsidRPr="00D31781" w:rsidRDefault="001858A0" w:rsidP="001858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asigure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utilizarea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imobilelor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date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spre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folosinţă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prezentului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protocol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conform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destinaţiei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lor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;</w:t>
      </w:r>
    </w:p>
    <w:p w:rsidR="001858A0" w:rsidRPr="00D31781" w:rsidRDefault="001858A0" w:rsidP="001858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gramStart"/>
      <w:r w:rsidRPr="00D31781">
        <w:rPr>
          <w:rFonts w:ascii="Times New Roman" w:hAnsi="Times New Roman"/>
          <w:sz w:val="24"/>
          <w:szCs w:val="24"/>
          <w:lang w:val="fr-FR"/>
        </w:rPr>
        <w:t xml:space="preserve">la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încetarea</w:t>
      </w:r>
      <w:proofErr w:type="spellEnd"/>
      <w:proofErr w:type="gram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protocolului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preia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bunurile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starea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care au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fost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transmise și,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după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caz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îmbunătă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irile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aduse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.</w:t>
      </w:r>
    </w:p>
    <w:p w:rsidR="001858A0" w:rsidRPr="00D31781" w:rsidRDefault="001858A0" w:rsidP="001858A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>4.3.</w:t>
      </w:r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Orice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modificare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sau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completare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gramStart"/>
      <w:r w:rsidRPr="00D31781">
        <w:rPr>
          <w:rFonts w:ascii="Times New Roman" w:hAnsi="Times New Roman"/>
          <w:sz w:val="24"/>
          <w:szCs w:val="24"/>
          <w:lang w:val="fr-FR"/>
        </w:rPr>
        <w:t>a</w:t>
      </w:r>
      <w:proofErr w:type="gram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prezentului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protocol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se va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putea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baza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acordului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comun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act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adiţional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.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5.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Condiţii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vederea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închirierii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sau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concesionării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bunului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dat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folosin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ță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gratuită</w:t>
      </w:r>
      <w:proofErr w:type="spellEnd"/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Închirierea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sau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concesionarea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este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interzisă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.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6.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Forţa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majoră</w:t>
      </w:r>
      <w:proofErr w:type="spellEnd"/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Forţa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majoră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exonerează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părţile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răspundere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cazul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executării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necorespunzătoare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sau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întârziere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obligaţiilor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asumate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prezentul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protocol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.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forţa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majoră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înţelege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un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eveniment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independent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voinţa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părţilor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imprevizibil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insurmontabil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apărut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după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darea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folosinţă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gratuită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imobilelor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care fac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obiectul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protocolului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care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împiedică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părţile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-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execute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obligaţiile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asumate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prezentul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protocol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.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Partea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care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invocă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forţa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majoră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are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obligaţia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notifica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celeilalte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părţi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termen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3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zile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producerea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acesteia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lua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orice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măsuri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care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stau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dispoziţie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vederea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limitării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consecinţelor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.</w:t>
      </w:r>
      <w:r w:rsidRPr="00D31781">
        <w:rPr>
          <w:rFonts w:ascii="Times New Roman" w:hAnsi="Times New Roman"/>
          <w:sz w:val="24"/>
          <w:szCs w:val="24"/>
          <w:lang w:val="fr-FR"/>
        </w:rPr>
        <w:tab/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7.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Soluţionarea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litigiilor</w:t>
      </w:r>
      <w:proofErr w:type="spellEnd"/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Orice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litigiu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decurgând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sau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legătură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acest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protocol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se va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soluţiona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cale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amiabilă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iar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caz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contrar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către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instanţele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competente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Piteşti. 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</w:r>
    </w:p>
    <w:p w:rsidR="001858A0" w:rsidRPr="00D31781" w:rsidRDefault="001858A0" w:rsidP="001858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8.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Dispoziţii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finale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Părţile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recunosc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faptul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folosinţa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gratuită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care se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bucură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este o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folosinţă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transmisă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printr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-un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act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administrativ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care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fi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modificat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sau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revocat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cazul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care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titularul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dreptului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folosinţă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gratuită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nu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îşi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exercită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obligaţiile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născute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actul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transmitere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.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Părţile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sunt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gramStart"/>
      <w:r w:rsidRPr="00D31781">
        <w:rPr>
          <w:rFonts w:ascii="Times New Roman" w:hAnsi="Times New Roman"/>
          <w:sz w:val="24"/>
          <w:szCs w:val="24"/>
          <w:lang w:val="fr-FR"/>
        </w:rPr>
        <w:t xml:space="preserve">de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acord</w:t>
      </w:r>
      <w:proofErr w:type="spellEnd"/>
      <w:proofErr w:type="gramEnd"/>
      <w:r w:rsidRPr="00D31781">
        <w:rPr>
          <w:rFonts w:ascii="Times New Roman" w:hAnsi="Times New Roman"/>
          <w:sz w:val="24"/>
          <w:szCs w:val="24"/>
          <w:lang w:val="fr-FR"/>
        </w:rPr>
        <w:t xml:space="preserve"> ca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orice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moment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prezentul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protocol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înceteze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unilateral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înştiinţarea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scrisă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termen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30 de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zile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fără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ca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acest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fapt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nască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favoarea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vreunei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părţi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obligaţia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cere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plata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despăgubiri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.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Protocolul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este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supus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interpretat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potrivit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legilor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România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.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Prezentul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protocol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s-a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încheiat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  <w:lang w:val="fr-FR"/>
        </w:rPr>
        <w:t>exemplare</w:t>
      </w:r>
      <w:proofErr w:type="spellEnd"/>
      <w:r w:rsidRPr="00D31781">
        <w:rPr>
          <w:rFonts w:ascii="Times New Roman" w:hAnsi="Times New Roman"/>
          <w:sz w:val="24"/>
          <w:szCs w:val="24"/>
          <w:lang w:val="fr-FR"/>
        </w:rPr>
        <w:t>.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1858A0" w:rsidRPr="00D31781" w:rsidRDefault="001858A0" w:rsidP="001858A0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   </w:t>
      </w:r>
    </w:p>
    <w:p w:rsidR="001858A0" w:rsidRPr="00D31781" w:rsidRDefault="001858A0" w:rsidP="001858A0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lastRenderedPageBreak/>
        <w:t xml:space="preserve">      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Judeţul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Argeş</w:t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  <w:t xml:space="preserve">                               Casa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Judeţeană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de </w:t>
      </w:r>
      <w:proofErr w:type="spellStart"/>
      <w:r w:rsidRPr="00D31781">
        <w:rPr>
          <w:rFonts w:ascii="Times New Roman" w:hAnsi="Times New Roman"/>
          <w:b/>
          <w:sz w:val="24"/>
          <w:szCs w:val="24"/>
          <w:lang w:val="fr-FR"/>
        </w:rPr>
        <w:t>Pensii</w:t>
      </w:r>
      <w:proofErr w:type="spellEnd"/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Argeş  </w:t>
      </w:r>
    </w:p>
    <w:p w:rsidR="001858A0" w:rsidRPr="00D31781" w:rsidRDefault="001858A0" w:rsidP="001858A0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         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Preşedinte</w:t>
      </w:r>
      <w:proofErr w:type="spellEnd"/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        Director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Executiv</w:t>
      </w:r>
      <w:proofErr w:type="spellEnd"/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          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Consiliul</w:t>
      </w:r>
      <w:proofErr w:type="spellEnd"/>
      <w:r w:rsidRPr="00D3178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Judeţean</w:t>
      </w:r>
      <w:proofErr w:type="spellEnd"/>
      <w:r w:rsidRPr="00D3178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Argeş</w:t>
      </w:r>
      <w:proofErr w:type="spellEnd"/>
      <w:r w:rsidRPr="00D31781">
        <w:rPr>
          <w:rFonts w:ascii="Times New Roman" w:hAnsi="Times New Roman"/>
          <w:b/>
          <w:sz w:val="24"/>
          <w:szCs w:val="24"/>
        </w:rPr>
        <w:t>,</w:t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          Aida ENACHE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ab/>
        <w:t xml:space="preserve">        Ion MÎNZÎNĂ</w:t>
      </w:r>
      <w:r w:rsidRPr="00D31781">
        <w:rPr>
          <w:rFonts w:ascii="Times New Roman" w:hAnsi="Times New Roman"/>
          <w:b/>
          <w:sz w:val="24"/>
          <w:szCs w:val="24"/>
        </w:rPr>
        <w:tab/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Pr="00D31781">
        <w:rPr>
          <w:rFonts w:ascii="Times New Roman" w:hAnsi="Times New Roman"/>
          <w:b/>
          <w:sz w:val="24"/>
          <w:szCs w:val="24"/>
        </w:rPr>
        <w:tab/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  SECRETAR GENERAL AL JUDEȚULUI</w:t>
      </w:r>
    </w:p>
    <w:p w:rsidR="001858A0" w:rsidRPr="00D31781" w:rsidRDefault="001858A0" w:rsidP="001858A0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        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Ionel</w:t>
      </w:r>
      <w:proofErr w:type="spellEnd"/>
      <w:r w:rsidRPr="00D31781">
        <w:rPr>
          <w:rFonts w:ascii="Times New Roman" w:hAnsi="Times New Roman"/>
          <w:b/>
          <w:sz w:val="24"/>
          <w:szCs w:val="24"/>
        </w:rPr>
        <w:t xml:space="preserve"> VOICA</w:t>
      </w:r>
    </w:p>
    <w:p w:rsidR="001858A0" w:rsidRPr="00D31781" w:rsidRDefault="001858A0" w:rsidP="001858A0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      </w:t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      Director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Executiv</w:t>
      </w:r>
      <w:proofErr w:type="spellEnd"/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          Eugenia-Carmen MOCANU</w:t>
      </w:r>
      <w:r w:rsidRPr="00D31781">
        <w:rPr>
          <w:rFonts w:ascii="Times New Roman" w:hAnsi="Times New Roman"/>
          <w:b/>
          <w:sz w:val="24"/>
          <w:szCs w:val="24"/>
        </w:rPr>
        <w:tab/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      Director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Executiv</w:t>
      </w:r>
      <w:proofErr w:type="spellEnd"/>
      <w:r w:rsidRPr="00D31781">
        <w:rPr>
          <w:rFonts w:ascii="Times New Roman" w:hAnsi="Times New Roman"/>
          <w:b/>
          <w:sz w:val="24"/>
          <w:szCs w:val="24"/>
        </w:rPr>
        <w:t xml:space="preserve"> 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                     </w:t>
      </w:r>
      <w:proofErr w:type="spellStart"/>
      <w:r w:rsidRPr="00D31781">
        <w:rPr>
          <w:rFonts w:ascii="Times New Roman" w:hAnsi="Times New Roman"/>
          <w:b/>
          <w:sz w:val="24"/>
          <w:szCs w:val="24"/>
        </w:rPr>
        <w:t>Alin</w:t>
      </w:r>
      <w:proofErr w:type="spellEnd"/>
      <w:r w:rsidRPr="00D31781">
        <w:rPr>
          <w:rFonts w:ascii="Times New Roman" w:hAnsi="Times New Roman"/>
          <w:b/>
          <w:sz w:val="24"/>
          <w:szCs w:val="24"/>
        </w:rPr>
        <w:t xml:space="preserve"> STOICEA</w:t>
      </w:r>
      <w:r w:rsidRPr="00D31781">
        <w:rPr>
          <w:rFonts w:ascii="Times New Roman" w:hAnsi="Times New Roman"/>
          <w:b/>
          <w:sz w:val="24"/>
          <w:szCs w:val="24"/>
        </w:rPr>
        <w:tab/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>DIRECTOR EXECUTIV</w:t>
      </w:r>
    </w:p>
    <w:p w:rsidR="001858A0" w:rsidRPr="00D31781" w:rsidRDefault="001858A0" w:rsidP="001858A0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      Alisa CIOBANU     </w:t>
      </w:r>
      <w:r w:rsidRPr="00D31781">
        <w:rPr>
          <w:rFonts w:ascii="Times New Roman" w:hAnsi="Times New Roman"/>
          <w:b/>
          <w:sz w:val="24"/>
          <w:szCs w:val="24"/>
        </w:rPr>
        <w:tab/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81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D31781">
        <w:rPr>
          <w:rFonts w:ascii="Times New Roman" w:hAnsi="Times New Roman"/>
          <w:sz w:val="24"/>
          <w:szCs w:val="24"/>
        </w:rPr>
        <w:t>Consilier</w:t>
      </w:r>
      <w:proofErr w:type="spellEnd"/>
      <w:r w:rsidRPr="00D317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1781">
        <w:rPr>
          <w:rFonts w:ascii="Times New Roman" w:hAnsi="Times New Roman"/>
          <w:sz w:val="24"/>
          <w:szCs w:val="24"/>
        </w:rPr>
        <w:t>juridic</w:t>
      </w:r>
      <w:proofErr w:type="spellEnd"/>
      <w:r w:rsidRPr="00D31781">
        <w:rPr>
          <w:rFonts w:ascii="Times New Roman" w:hAnsi="Times New Roman"/>
          <w:sz w:val="24"/>
          <w:szCs w:val="24"/>
        </w:rPr>
        <w:t xml:space="preserve">, 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sz w:val="24"/>
          <w:szCs w:val="24"/>
        </w:rPr>
        <w:t xml:space="preserve">          Robert CIORTAN</w:t>
      </w: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679CC"/>
    <w:multiLevelType w:val="hybridMultilevel"/>
    <w:tmpl w:val="CA187D24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AD0517"/>
    <w:multiLevelType w:val="hybridMultilevel"/>
    <w:tmpl w:val="D4AE9D78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EE27A2C"/>
    <w:multiLevelType w:val="multilevel"/>
    <w:tmpl w:val="75B043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858A0"/>
    <w:rsid w:val="001858A0"/>
    <w:rsid w:val="003B659F"/>
    <w:rsid w:val="005E2C5D"/>
    <w:rsid w:val="00607A1B"/>
    <w:rsid w:val="00707C2F"/>
    <w:rsid w:val="00DF22F8"/>
    <w:rsid w:val="00F155C0"/>
    <w:rsid w:val="00F5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8A0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1858A0"/>
    <w:rPr>
      <w:b/>
      <w:bCs/>
    </w:rPr>
  </w:style>
  <w:style w:type="character" w:customStyle="1" w:styleId="ln2punct1">
    <w:name w:val="ln2punct1"/>
    <w:rsid w:val="001858A0"/>
    <w:rPr>
      <w:b/>
      <w:bCs/>
      <w:color w:val="008F00"/>
    </w:rPr>
  </w:style>
  <w:style w:type="character" w:customStyle="1" w:styleId="ln2tpunct">
    <w:name w:val="ln2tpunct"/>
    <w:basedOn w:val="DefaultParagraphFont"/>
    <w:rsid w:val="001858A0"/>
  </w:style>
  <w:style w:type="character" w:customStyle="1" w:styleId="ln2tparagraf">
    <w:name w:val="ln2tparagraf"/>
    <w:basedOn w:val="DefaultParagraphFont"/>
    <w:rsid w:val="001858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1047</Words>
  <Characters>5974</Characters>
  <Application>Microsoft Office Word</Application>
  <DocSecurity>0</DocSecurity>
  <Lines>49</Lines>
  <Paragraphs>14</Paragraphs>
  <ScaleCrop>false</ScaleCrop>
  <Company>Consiliul Judetean Arges</Company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2024-05-23T06:16:00Z</dcterms:created>
  <dcterms:modified xsi:type="dcterms:W3CDTF">2024-06-06T10:19:00Z</dcterms:modified>
</cp:coreProperties>
</file>