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1EE" w:rsidRDefault="004B01EE" w:rsidP="004B01EE">
      <w:pPr>
        <w:jc w:val="right"/>
        <w:rPr>
          <w:b/>
          <w:bCs/>
          <w:sz w:val="23"/>
          <w:szCs w:val="23"/>
        </w:rPr>
      </w:pPr>
      <w:r>
        <w:rPr>
          <w:b/>
          <w:bCs/>
          <w:sz w:val="23"/>
          <w:szCs w:val="23"/>
        </w:rPr>
        <w:t>Anexa 3</w:t>
      </w:r>
    </w:p>
    <w:p w:rsidR="004B01EE" w:rsidRPr="00E863AC" w:rsidRDefault="004B01EE" w:rsidP="004B01EE">
      <w:pPr>
        <w:jc w:val="center"/>
        <w:rPr>
          <w:b/>
          <w:bCs/>
          <w:sz w:val="32"/>
          <w:szCs w:val="32"/>
        </w:rPr>
      </w:pPr>
      <w:r w:rsidRPr="00E863AC">
        <w:rPr>
          <w:b/>
          <w:bCs/>
          <w:sz w:val="32"/>
          <w:szCs w:val="32"/>
        </w:rPr>
        <w:t>Diagrama de proces</w:t>
      </w:r>
    </w:p>
    <w:p w:rsidR="004B01EE" w:rsidRDefault="004B01EE" w:rsidP="004B01EE">
      <w:pPr>
        <w:jc w:val="center"/>
        <w:rPr>
          <w:b/>
          <w:bCs/>
          <w:sz w:val="23"/>
          <w:szCs w:val="23"/>
        </w:rPr>
      </w:pPr>
    </w:p>
    <w:p w:rsidR="004B01EE" w:rsidRDefault="004B01EE" w:rsidP="004B01EE">
      <w:pPr>
        <w:jc w:val="center"/>
        <w:rPr>
          <w:b/>
          <w:bCs/>
          <w:sz w:val="23"/>
          <w:szCs w:val="23"/>
        </w:rPr>
      </w:pPr>
    </w:p>
    <w:p w:rsidR="004B01EE" w:rsidRDefault="004B01EE" w:rsidP="004B01EE">
      <w:pPr>
        <w:jc w:val="center"/>
        <w:rPr>
          <w:b/>
          <w:bCs/>
          <w:sz w:val="23"/>
          <w:szCs w:val="23"/>
        </w:rPr>
      </w:pPr>
    </w:p>
    <w:tbl>
      <w:tblPr>
        <w:tblStyle w:val="TableGrid"/>
        <w:tblW w:w="0" w:type="auto"/>
        <w:tblLook w:val="04A0"/>
      </w:tblPr>
      <w:tblGrid>
        <w:gridCol w:w="4457"/>
      </w:tblGrid>
      <w:tr w:rsidR="004B01EE" w:rsidRPr="00E863AC" w:rsidTr="009C6120">
        <w:trPr>
          <w:trHeight w:val="1838"/>
        </w:trPr>
        <w:tc>
          <w:tcPr>
            <w:tcW w:w="4457" w:type="dxa"/>
          </w:tcPr>
          <w:p w:rsidR="004B01EE" w:rsidRDefault="004B01EE" w:rsidP="009C6120">
            <w:pPr>
              <w:rPr>
                <w:rFonts w:ascii="Times New Roman" w:hAnsi="Times New Roman" w:cs="Times New Roman"/>
                <w:sz w:val="24"/>
                <w:szCs w:val="24"/>
              </w:rPr>
            </w:pPr>
          </w:p>
          <w:p w:rsidR="004B01EE" w:rsidRPr="00E863AC" w:rsidRDefault="004B01EE" w:rsidP="009C6120">
            <w:pPr>
              <w:rPr>
                <w:rFonts w:ascii="Times New Roman" w:hAnsi="Times New Roman" w:cs="Times New Roman"/>
                <w:sz w:val="24"/>
                <w:szCs w:val="24"/>
              </w:rPr>
            </w:pPr>
            <w:r w:rsidRPr="00E863AC">
              <w:rPr>
                <w:rFonts w:ascii="Times New Roman" w:hAnsi="Times New Roman" w:cs="Times New Roman"/>
                <w:sz w:val="24"/>
                <w:szCs w:val="24"/>
              </w:rPr>
              <w:t>Conducătorul instituției dispune constituirea Comisie de Evaluare și Inventariere compusă din 3</w:t>
            </w:r>
            <w:r>
              <w:rPr>
                <w:rFonts w:ascii="Times New Roman" w:hAnsi="Times New Roman" w:cs="Times New Roman"/>
                <w:sz w:val="24"/>
                <w:szCs w:val="24"/>
              </w:rPr>
              <w:t xml:space="preserve"> (trei)</w:t>
            </w:r>
            <w:r w:rsidRPr="00E863AC">
              <w:rPr>
                <w:rFonts w:ascii="Times New Roman" w:hAnsi="Times New Roman" w:cs="Times New Roman"/>
                <w:sz w:val="24"/>
                <w:szCs w:val="24"/>
              </w:rPr>
              <w:t xml:space="preserve"> persoane din cadrul Consiliului Județean Argeș, </w:t>
            </w:r>
          </w:p>
          <w:p w:rsidR="004B01EE" w:rsidRPr="00E863AC" w:rsidRDefault="004B01EE" w:rsidP="009C6120">
            <w:pPr>
              <w:rPr>
                <w:rFonts w:ascii="Times New Roman" w:hAnsi="Times New Roman" w:cs="Times New Roman"/>
                <w:sz w:val="24"/>
                <w:szCs w:val="24"/>
              </w:rPr>
            </w:pPr>
            <w:r w:rsidRPr="00E863AC">
              <w:rPr>
                <w:rFonts w:ascii="Times New Roman" w:hAnsi="Times New Roman" w:cs="Times New Roman"/>
                <w:sz w:val="24"/>
                <w:szCs w:val="24"/>
              </w:rPr>
              <w:t>1 președinte și 2 membri</w:t>
            </w:r>
            <w:r>
              <w:rPr>
                <w:rFonts w:ascii="Times New Roman" w:hAnsi="Times New Roman" w:cs="Times New Roman"/>
                <w:sz w:val="24"/>
                <w:szCs w:val="24"/>
              </w:rPr>
              <w:t>.</w:t>
            </w:r>
          </w:p>
        </w:tc>
      </w:tr>
    </w:tbl>
    <w:p w:rsidR="004B01EE" w:rsidRPr="00E863AC" w:rsidRDefault="004B01EE" w:rsidP="004B01EE">
      <w:r w:rsidRPr="00961D2B">
        <w:rPr>
          <w:rFonts w:ascii="Times New Roman" w:hAnsi="Times New Roman" w:cs="Times New Roman"/>
          <w:noProof/>
          <w:sz w:val="24"/>
          <w:szCs w:val="24"/>
          <w:lang w:eastAsia="ro-RO"/>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100.4pt;margin-top:15.15pt;width:7.15pt;height:32.65pt;z-index:251658240;mso-position-horizontal-relative:text;mso-position-vertical-relative:text">
            <v:textbox style="layout-flow:vertical-ideographic"/>
          </v:shape>
        </w:pict>
      </w:r>
    </w:p>
    <w:tbl>
      <w:tblPr>
        <w:tblpPr w:leftFromText="180" w:rightFromText="180" w:vertAnchor="text" w:tblpX="5718" w:tblpY="-20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36"/>
      </w:tblGrid>
      <w:tr w:rsidR="004B01EE" w:rsidRPr="00E863AC" w:rsidTr="009C6120">
        <w:trPr>
          <w:trHeight w:val="8489"/>
        </w:trPr>
        <w:tc>
          <w:tcPr>
            <w:tcW w:w="3936" w:type="dxa"/>
          </w:tcPr>
          <w:p w:rsidR="004B01EE" w:rsidRDefault="004B01EE" w:rsidP="009C6120">
            <w:pPr>
              <w:pStyle w:val="Default"/>
              <w:rPr>
                <w:rFonts w:ascii="Times New Roman" w:hAnsi="Times New Roman" w:cs="Times New Roman"/>
                <w:color w:val="auto"/>
              </w:rPr>
            </w:pPr>
          </w:p>
          <w:p w:rsidR="004B01EE"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 xml:space="preserve">Comisia de Evaluare și Inventariere: </w:t>
            </w:r>
          </w:p>
          <w:p w:rsidR="004B01EE" w:rsidRPr="00E863AC" w:rsidRDefault="004B01EE" w:rsidP="009C6120">
            <w:pPr>
              <w:pStyle w:val="Default"/>
              <w:rPr>
                <w:rFonts w:ascii="Times New Roman" w:hAnsi="Times New Roman" w:cs="Times New Roman"/>
                <w:color w:val="auto"/>
              </w:rPr>
            </w:pPr>
          </w:p>
          <w:p w:rsidR="004B01EE" w:rsidRPr="00E863AC"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 xml:space="preserve">a) înregistrează și ține evidența statistică, cantitativă și valorică a bunurilor primite cu titlul gratuit în cadrul unor acțiuni de protocol în exercitarea mandatului sau a funcției; </w:t>
            </w:r>
          </w:p>
          <w:p w:rsidR="004B01EE" w:rsidRPr="00E863AC"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 xml:space="preserve">b) evaluează și inventariază bunurile; </w:t>
            </w:r>
          </w:p>
          <w:p w:rsidR="004B01EE" w:rsidRPr="00E863AC"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 xml:space="preserve">c) restituie primitorului bunurile a căror valoare este sub 200 euro; </w:t>
            </w:r>
          </w:p>
          <w:p w:rsidR="004B01EE" w:rsidRPr="00E863AC"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 xml:space="preserve">d) aprobă păstrarea de către primitor a bunurilor cu o valoare mai mare de 200 euro, cu condiția achitării de către acesta a diferenței de preț care se face într-un cont deschis la unitățile Trezoreriei Statului stabilit prin Ordin al Ministrului Finanțelor Publice; </w:t>
            </w:r>
          </w:p>
          <w:p w:rsidR="004B01EE" w:rsidRPr="00E863AC"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 xml:space="preserve">e) propune păstrarea bunurilor în patrimoniul instituției, transmite cu titlul gratuit bunurile rămase în patrimoniul instituției către o instituție publică de profil sau vânzarea prin licitație a acestor bunuri; </w:t>
            </w:r>
          </w:p>
          <w:p w:rsidR="004B01EE" w:rsidRPr="00E863AC"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 xml:space="preserve">f) asigură publicarea listei cuprinzând bunurile dispuse și destinația acestora; </w:t>
            </w:r>
          </w:p>
          <w:p w:rsidR="004B01EE" w:rsidRPr="00E863AC" w:rsidRDefault="004B01EE" w:rsidP="009C6120">
            <w:r w:rsidRPr="00E863AC">
              <w:rPr>
                <w:rFonts w:ascii="Times New Roman" w:hAnsi="Times New Roman" w:cs="Times New Roman"/>
                <w:sz w:val="24"/>
                <w:szCs w:val="24"/>
              </w:rPr>
              <w:t>g) asigură păstrarea și securitatea bunurilor.</w:t>
            </w:r>
          </w:p>
        </w:tc>
      </w:tr>
    </w:tbl>
    <w:p w:rsidR="004B01EE" w:rsidRPr="00E863AC" w:rsidRDefault="004B01EE" w:rsidP="004B01EE"/>
    <w:tbl>
      <w:tblPr>
        <w:tblStyle w:val="TableGrid"/>
        <w:tblW w:w="0" w:type="auto"/>
        <w:tblLook w:val="04A0"/>
      </w:tblPr>
      <w:tblGrid>
        <w:gridCol w:w="4503"/>
      </w:tblGrid>
      <w:tr w:rsidR="004B01EE" w:rsidRPr="00E863AC" w:rsidTr="009C6120">
        <w:tc>
          <w:tcPr>
            <w:tcW w:w="4503" w:type="dxa"/>
          </w:tcPr>
          <w:p w:rsidR="004B01EE" w:rsidRDefault="004B01EE" w:rsidP="009C6120">
            <w:pPr>
              <w:pStyle w:val="Default"/>
              <w:rPr>
                <w:rFonts w:ascii="Times New Roman" w:hAnsi="Times New Roman" w:cs="Times New Roman"/>
                <w:color w:val="auto"/>
              </w:rPr>
            </w:pPr>
          </w:p>
          <w:p w:rsidR="004B01EE" w:rsidRPr="00E863AC" w:rsidRDefault="004B01EE" w:rsidP="009C6120">
            <w:pPr>
              <w:pStyle w:val="Default"/>
              <w:rPr>
                <w:rFonts w:ascii="Times New Roman" w:hAnsi="Times New Roman" w:cs="Times New Roman"/>
                <w:color w:val="auto"/>
              </w:rPr>
            </w:pPr>
            <w:r w:rsidRPr="00E863AC">
              <w:rPr>
                <w:rFonts w:ascii="Times New Roman" w:hAnsi="Times New Roman" w:cs="Times New Roman"/>
                <w:color w:val="auto"/>
              </w:rPr>
              <w:t>Persoanele care au calitatea de demnitar public ori care dețin funcții de demnitate publică, persoane cu funcții de conducere și de control, funcționarii publici din cadrul instituției și persoanele care au obligația de a-și declara averea vor declara și prezenta la conducătorul instituției, în termen de 30 de zile de la primire, bunurile pe care le-au primit cu titlul gratuit în cadrul unor activități de protocol în exercitarea mandatului sau a funcției.</w:t>
            </w:r>
          </w:p>
          <w:p w:rsidR="004B01EE" w:rsidRPr="00E863AC" w:rsidRDefault="004B01EE" w:rsidP="009C6120"/>
        </w:tc>
      </w:tr>
    </w:tbl>
    <w:p w:rsidR="004B01EE" w:rsidRPr="00E863AC" w:rsidRDefault="004B01EE" w:rsidP="004B01EE">
      <w:r>
        <w:rPr>
          <w:noProof/>
          <w:lang w:eastAsia="ro-RO"/>
        </w:rPr>
        <w:pict>
          <v:shape id="_x0000_s1027" type="#_x0000_t67" style="position:absolute;margin-left:100.4pt;margin-top:1.55pt;width:7.15pt;height:25.15pt;z-index:251658240;mso-position-horizontal-relative:text;mso-position-vertical-relative:text">
            <v:textbox style="layout-flow:vertical-ideographic"/>
          </v:shape>
        </w:pict>
      </w:r>
    </w:p>
    <w:tbl>
      <w:tblPr>
        <w:tblStyle w:val="TableGrid"/>
        <w:tblW w:w="0" w:type="auto"/>
        <w:tblLook w:val="04A0"/>
      </w:tblPr>
      <w:tblGrid>
        <w:gridCol w:w="4503"/>
      </w:tblGrid>
      <w:tr w:rsidR="004B01EE" w:rsidRPr="00E863AC" w:rsidTr="009C6120">
        <w:tc>
          <w:tcPr>
            <w:tcW w:w="4503" w:type="dxa"/>
          </w:tcPr>
          <w:p w:rsidR="004B01EE" w:rsidRDefault="004B01EE" w:rsidP="009C6120">
            <w:pPr>
              <w:pStyle w:val="Default"/>
              <w:rPr>
                <w:rFonts w:ascii="Times New Roman" w:hAnsi="Times New Roman" w:cs="Times New Roman"/>
                <w:color w:val="auto"/>
              </w:rPr>
            </w:pPr>
          </w:p>
          <w:p w:rsidR="004B01EE" w:rsidRPr="00E863AC" w:rsidRDefault="004B01EE" w:rsidP="009C6120">
            <w:pPr>
              <w:pStyle w:val="Default"/>
              <w:rPr>
                <w:rFonts w:ascii="Times New Roman" w:hAnsi="Times New Roman" w:cs="Times New Roman"/>
                <w:color w:val="auto"/>
              </w:rPr>
            </w:pPr>
            <w:r>
              <w:rPr>
                <w:rFonts w:ascii="Times New Roman" w:hAnsi="Times New Roman" w:cs="Times New Roman"/>
                <w:noProof/>
                <w:color w:val="auto"/>
                <w:lang w:eastAsia="ro-RO"/>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margin-left:217.15pt;margin-top:23.3pt;width:61.1pt;height:14.25pt;z-index:251658240"/>
              </w:pict>
            </w:r>
            <w:r w:rsidRPr="00E863AC">
              <w:rPr>
                <w:rFonts w:ascii="Times New Roman" w:hAnsi="Times New Roman" w:cs="Times New Roman"/>
                <w:color w:val="auto"/>
              </w:rPr>
              <w:t>Conducătorul instituției transmite declarațiile privind bunurile primite cu titlul gratuit în cadrul unor activități de protocol în exercitarea mandatului sau a funcției către Comi</w:t>
            </w:r>
            <w:r>
              <w:rPr>
                <w:rFonts w:ascii="Times New Roman" w:hAnsi="Times New Roman" w:cs="Times New Roman"/>
                <w:color w:val="auto"/>
              </w:rPr>
              <w:t>sia de evaluare și inventariere.</w:t>
            </w:r>
          </w:p>
          <w:p w:rsidR="004B01EE" w:rsidRPr="00E863AC" w:rsidRDefault="004B01EE" w:rsidP="009C6120"/>
        </w:tc>
      </w:tr>
    </w:tbl>
    <w:p w:rsidR="004B01EE" w:rsidRDefault="004B01EE" w:rsidP="004B01EE"/>
    <w:p w:rsidR="004B01EE" w:rsidRPr="00D0567F" w:rsidRDefault="004B01EE" w:rsidP="004B01EE">
      <w:pPr>
        <w:pStyle w:val="ListParagraph"/>
        <w:shd w:val="clear" w:color="auto" w:fill="FFFFFF"/>
        <w:spacing w:after="0" w:line="240" w:lineRule="auto"/>
        <w:rPr>
          <w:rFonts w:ascii="Times New Roman" w:eastAsia="Times New Roman" w:hAnsi="Times New Roman" w:cs="Times New Roman"/>
          <w:sz w:val="23"/>
          <w:szCs w:val="23"/>
          <w:lang w:eastAsia="ro-RO"/>
        </w:rPr>
      </w:pPr>
    </w:p>
    <w:p w:rsidR="00B568B6" w:rsidRDefault="00B568B6"/>
    <w:sectPr w:rsidR="00B568B6" w:rsidSect="00AC46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01EE"/>
    <w:rsid w:val="004B01EE"/>
    <w:rsid w:val="00B568B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1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1EE"/>
    <w:pPr>
      <w:ind w:left="720"/>
      <w:contextualSpacing/>
    </w:pPr>
  </w:style>
  <w:style w:type="table" w:styleId="TableGrid">
    <w:name w:val="Table Grid"/>
    <w:basedOn w:val="TableNormal"/>
    <w:uiPriority w:val="59"/>
    <w:rsid w:val="004B01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B01E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1576</Characters>
  <Application>Microsoft Office Word</Application>
  <DocSecurity>0</DocSecurity>
  <Lines>13</Lines>
  <Paragraphs>3</Paragraphs>
  <ScaleCrop>false</ScaleCrop>
  <Company>Consiliul Judetean Arges</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mirelao</dc:creator>
  <cp:lastModifiedBy>mirelao</cp:lastModifiedBy>
  <cp:revision>1</cp:revision>
  <dcterms:created xsi:type="dcterms:W3CDTF">2020-06-23T12:36:00Z</dcterms:created>
  <dcterms:modified xsi:type="dcterms:W3CDTF">2020-06-23T12:36:00Z</dcterms:modified>
</cp:coreProperties>
</file>