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1DA7" w14:textId="110CA4FA" w:rsidR="00172D45" w:rsidRPr="003B4AD7" w:rsidRDefault="00172D45" w:rsidP="00172D45">
      <w:pPr>
        <w:pStyle w:val="Body"/>
        <w:shd w:val="clear" w:color="auto" w:fill="FFFFFF"/>
        <w:spacing w:after="240" w:line="240" w:lineRule="auto"/>
        <w:rPr>
          <w:rFonts w:cs="Arial"/>
          <w:b/>
          <w:bCs/>
          <w:sz w:val="24"/>
        </w:rPr>
      </w:pPr>
      <w:r w:rsidRPr="003B4AD7">
        <w:rPr>
          <w:rFonts w:cs="Arial"/>
          <w:b/>
          <w:bCs/>
          <w:sz w:val="24"/>
        </w:rPr>
        <w:t xml:space="preserve">Anexa </w:t>
      </w:r>
      <w:r>
        <w:rPr>
          <w:rFonts w:cs="Arial"/>
          <w:b/>
          <w:bCs/>
          <w:sz w:val="24"/>
        </w:rPr>
        <w:t xml:space="preserve">17 </w:t>
      </w:r>
      <w:r w:rsidRPr="003B4AD7">
        <w:rPr>
          <w:rFonts w:cs="Arial"/>
          <w:b/>
          <w:bCs/>
          <w:sz w:val="24"/>
        </w:rPr>
        <w:t xml:space="preserve"> </w:t>
      </w:r>
      <w:r>
        <w:rPr>
          <w:rFonts w:cs="Arial"/>
          <w:b/>
          <w:bCs/>
          <w:sz w:val="24"/>
        </w:rPr>
        <w:t>Metodologia de alocare a Compensației</w:t>
      </w:r>
      <w:r w:rsidR="00603BBF">
        <w:rPr>
          <w:rFonts w:cs="Arial"/>
          <w:b/>
          <w:bCs/>
          <w:sz w:val="24"/>
        </w:rPr>
        <w:t xml:space="preserve"> totale</w:t>
      </w:r>
      <w:r>
        <w:rPr>
          <w:rFonts w:cs="Arial"/>
          <w:b/>
          <w:bCs/>
          <w:sz w:val="24"/>
        </w:rPr>
        <w:t xml:space="preserve"> pe UAT-uri beneficiare membre ale Entității Contractante</w:t>
      </w:r>
      <w:r w:rsidRPr="003B4AD7">
        <w:rPr>
          <w:rFonts w:cs="Arial"/>
          <w:b/>
          <w:bCs/>
          <w:sz w:val="24"/>
        </w:rPr>
        <w:t xml:space="preserve"> </w:t>
      </w:r>
    </w:p>
    <w:p w14:paraId="215EFC12" w14:textId="322903AA" w:rsidR="00172D45" w:rsidRDefault="00603BBF">
      <w:r>
        <w:tab/>
      </w:r>
      <w:r w:rsidR="00172D45">
        <w:t>Compensația se calculeaza individual pentru fiecare UAT beneficiar membru al Entității Contractante, printr-un Raport lunar de constatare- conform Anexei 7.1 – Raport lunar de constatare.</w:t>
      </w:r>
      <w:r w:rsidR="00C07F9B">
        <w:t xml:space="preserve"> C</w:t>
      </w:r>
      <w:r>
        <w:t>a</w:t>
      </w:r>
      <w:r w:rsidR="00C07F9B">
        <w:t xml:space="preserve"> urmare este necesară stabilirea modalității de alocare pentru fiecare component ce intră în calculul compensației</w:t>
      </w:r>
      <w:r>
        <w:t>.</w:t>
      </w:r>
    </w:p>
    <w:p w14:paraId="6EC97AFD" w14:textId="014A4882" w:rsidR="00BD0021" w:rsidRDefault="00BD0021" w:rsidP="00BD0021">
      <w:pPr>
        <w:shd w:val="clear" w:color="auto" w:fill="FFFFFF"/>
        <w:spacing w:line="276" w:lineRule="auto"/>
        <w:ind w:left="720"/>
        <w:rPr>
          <w:rFonts w:cs="Tahoma"/>
          <w:color w:val="000000"/>
          <w:kern w:val="20"/>
          <w:lang w:val="ro-RO"/>
        </w:rPr>
      </w:pPr>
      <w:r w:rsidRPr="0016164D">
        <w:rPr>
          <w:rFonts w:cs="Tahoma"/>
          <w:b/>
          <w:bCs/>
          <w:color w:val="000000"/>
          <w:kern w:val="20"/>
          <w:lang w:val="ro-RO"/>
        </w:rPr>
        <w:t>I.</w:t>
      </w:r>
      <w:r w:rsidRPr="007764C1">
        <w:rPr>
          <w:rFonts w:cs="Tahoma"/>
          <w:b/>
          <w:color w:val="000000"/>
          <w:kern w:val="20"/>
          <w:lang w:val="ro-RO"/>
        </w:rPr>
        <w:t xml:space="preserve"> </w:t>
      </w:r>
      <w:r w:rsidRPr="00300F08">
        <w:rPr>
          <w:rFonts w:cs="Tahoma"/>
          <w:b/>
          <w:color w:val="000000"/>
          <w:kern w:val="20"/>
          <w:lang w:val="ro-RO"/>
        </w:rPr>
        <w:t xml:space="preserve">Metodologia de alocare a </w:t>
      </w:r>
      <w:r w:rsidR="00603BBF">
        <w:rPr>
          <w:rFonts w:cs="Tahoma"/>
          <w:b/>
          <w:color w:val="000000"/>
          <w:kern w:val="20"/>
          <w:lang w:val="ro-RO"/>
        </w:rPr>
        <w:t>Compensației de exploatare</w:t>
      </w:r>
    </w:p>
    <w:p w14:paraId="500FA86F" w14:textId="4EC22101" w:rsidR="00BD0021" w:rsidRDefault="00BD0021" w:rsidP="00BD0021">
      <w:pPr>
        <w:shd w:val="clear" w:color="auto" w:fill="FFFFFF"/>
        <w:spacing w:line="276" w:lineRule="auto"/>
        <w:rPr>
          <w:rFonts w:cs="Tahoma"/>
          <w:color w:val="000000"/>
          <w:kern w:val="20"/>
          <w:lang w:val="ro-RO"/>
        </w:rPr>
      </w:pPr>
      <w:r>
        <w:rPr>
          <w:rFonts w:cs="Tahoma"/>
          <w:color w:val="000000"/>
          <w:kern w:val="20"/>
          <w:lang w:val="ro-RO"/>
        </w:rPr>
        <w:tab/>
      </w:r>
      <w:r w:rsidR="00603BBF">
        <w:rPr>
          <w:rFonts w:cs="Tahoma"/>
          <w:color w:val="000000"/>
          <w:kern w:val="20"/>
          <w:lang w:val="ro-RO"/>
        </w:rPr>
        <w:t xml:space="preserve">Compensația lunară de exploatare se face </w:t>
      </w:r>
      <w:r>
        <w:rPr>
          <w:rFonts w:cs="Tahoma"/>
          <w:color w:val="000000"/>
          <w:kern w:val="20"/>
          <w:lang w:val="ro-RO"/>
        </w:rPr>
        <w:t>prin alocarea unei chei de repartizare in functie de ponderea km efectiv realizati lunar, aferenti fiecarui UAT in parte, in totalul km efectiv realizati lunar pentru indeplinirea obligatiei serviciului public de transport local de calatori, calculata astfel:</w:t>
      </w:r>
    </w:p>
    <w:p w14:paraId="1C528517" w14:textId="77777777" w:rsidR="00BD0021" w:rsidRDefault="00BD0021" w:rsidP="00BD0021">
      <w:pPr>
        <w:shd w:val="clear" w:color="auto" w:fill="FFFFFF"/>
        <w:spacing w:line="276" w:lineRule="auto"/>
        <w:ind w:firstLine="720"/>
        <w:rPr>
          <w:rFonts w:cs="Tahoma"/>
          <w:color w:val="000000"/>
          <w:kern w:val="20"/>
          <w:lang w:val="ro-RO"/>
        </w:rPr>
      </w:pPr>
      <w:r>
        <w:rPr>
          <w:rFonts w:cs="Tahoma"/>
          <w:b/>
          <w:color w:val="000000"/>
          <w:kern w:val="20"/>
          <w:sz w:val="22"/>
          <w:szCs w:val="22"/>
          <w:lang w:val="ro-RO"/>
        </w:rPr>
        <w:t xml:space="preserve">                           </w:t>
      </w:r>
      <w:r w:rsidRPr="00300F08">
        <w:rPr>
          <w:rFonts w:cs="Tahoma"/>
          <w:b/>
          <w:color w:val="000000"/>
          <w:kern w:val="20"/>
          <w:sz w:val="22"/>
          <w:szCs w:val="22"/>
          <w:lang w:val="ro-RO"/>
        </w:rPr>
        <w:t xml:space="preserve">km efectiv realizati lunar </w:t>
      </w:r>
      <w:r>
        <w:rPr>
          <w:rFonts w:cs="Tahoma"/>
          <w:b/>
          <w:color w:val="000000"/>
          <w:kern w:val="20"/>
          <w:sz w:val="22"/>
          <w:szCs w:val="22"/>
          <w:lang w:val="ro-RO"/>
        </w:rPr>
        <w:t xml:space="preserve">pentru fiecare </w:t>
      </w:r>
      <w:r w:rsidRPr="00300F08">
        <w:rPr>
          <w:rFonts w:cs="Tahoma"/>
          <w:b/>
          <w:color w:val="000000"/>
          <w:kern w:val="20"/>
          <w:sz w:val="22"/>
          <w:szCs w:val="22"/>
          <w:lang w:val="ro-RO"/>
        </w:rPr>
        <w:t>UAT</w:t>
      </w:r>
    </w:p>
    <w:p w14:paraId="24C88CCA" w14:textId="77777777" w:rsidR="00BD0021" w:rsidRPr="00300F08" w:rsidRDefault="00BD0021" w:rsidP="00BD0021">
      <w:pPr>
        <w:shd w:val="clear" w:color="auto" w:fill="FFFFFF"/>
        <w:spacing w:line="276" w:lineRule="auto"/>
        <w:rPr>
          <w:rFonts w:cs="Tahoma"/>
          <w:b/>
          <w:color w:val="000000"/>
          <w:kern w:val="20"/>
          <w:sz w:val="22"/>
          <w:szCs w:val="22"/>
          <w:lang w:val="ro-RO"/>
        </w:rPr>
      </w:pPr>
      <w:r w:rsidRPr="00300F08">
        <w:rPr>
          <w:rFonts w:cs="Tahoma"/>
          <w:b/>
          <w:color w:val="000000"/>
          <w:kern w:val="20"/>
          <w:sz w:val="22"/>
          <w:szCs w:val="22"/>
          <w:lang w:val="ro-RO"/>
        </w:rPr>
        <w:t>K</w:t>
      </w:r>
      <w:r>
        <w:rPr>
          <w:rFonts w:cs="Tahoma"/>
          <w:b/>
          <w:color w:val="000000"/>
          <w:kern w:val="20"/>
          <w:sz w:val="22"/>
          <w:szCs w:val="22"/>
          <w:lang w:val="ro-RO"/>
        </w:rPr>
        <w:t>1 repartizare  =  -----------------------------------------------------</w:t>
      </w:r>
      <w:r w:rsidRPr="00300F08">
        <w:rPr>
          <w:rFonts w:cs="Tahoma"/>
          <w:b/>
          <w:color w:val="000000"/>
          <w:kern w:val="20"/>
          <w:sz w:val="22"/>
          <w:szCs w:val="22"/>
          <w:lang w:val="ro-RO"/>
        </w:rPr>
        <w:t>*100</w:t>
      </w:r>
    </w:p>
    <w:p w14:paraId="3CCDD529" w14:textId="77777777" w:rsidR="00BD0021" w:rsidRDefault="00BD0021" w:rsidP="00BD0021">
      <w:pPr>
        <w:shd w:val="clear" w:color="auto" w:fill="FFFFFF"/>
        <w:tabs>
          <w:tab w:val="left" w:pos="915"/>
        </w:tabs>
        <w:spacing w:line="276" w:lineRule="auto"/>
        <w:rPr>
          <w:rFonts w:cs="Tahoma"/>
          <w:b/>
          <w:color w:val="000000"/>
          <w:kern w:val="20"/>
          <w:sz w:val="22"/>
          <w:szCs w:val="22"/>
          <w:lang w:val="ro-RO"/>
        </w:rPr>
      </w:pPr>
      <w:r>
        <w:rPr>
          <w:rFonts w:cs="Tahoma"/>
          <w:b/>
          <w:color w:val="000000"/>
          <w:kern w:val="20"/>
          <w:lang w:val="ro-RO"/>
        </w:rPr>
        <w:t xml:space="preserve">                            </w:t>
      </w:r>
      <w:r w:rsidRPr="00300F08">
        <w:rPr>
          <w:rFonts w:cs="Tahoma"/>
          <w:b/>
          <w:color w:val="000000"/>
          <w:kern w:val="20"/>
          <w:sz w:val="22"/>
          <w:szCs w:val="22"/>
          <w:lang w:val="ro-RO"/>
        </w:rPr>
        <w:t xml:space="preserve">total km efectiv realizati lunar </w:t>
      </w:r>
      <w:r>
        <w:rPr>
          <w:rFonts w:cs="Tahoma"/>
          <w:b/>
          <w:color w:val="000000"/>
          <w:kern w:val="20"/>
          <w:sz w:val="22"/>
          <w:szCs w:val="22"/>
          <w:lang w:val="ro-RO"/>
        </w:rPr>
        <w:t>urban +metropolitan</w:t>
      </w:r>
    </w:p>
    <w:p w14:paraId="5ED4C12B" w14:textId="77777777" w:rsidR="00BD0021" w:rsidRDefault="00BD0021" w:rsidP="00BD0021">
      <w:pPr>
        <w:shd w:val="clear" w:color="auto" w:fill="FFFFFF"/>
        <w:spacing w:line="276" w:lineRule="auto"/>
        <w:ind w:firstLine="426"/>
        <w:rPr>
          <w:rFonts w:cs="Tahoma"/>
          <w:color w:val="000000"/>
          <w:lang w:val="ro-RO" w:eastAsia="fr-FR"/>
        </w:rPr>
      </w:pPr>
      <w:r w:rsidRPr="0023558B">
        <w:rPr>
          <w:rFonts w:cs="Tahoma"/>
          <w:color w:val="000000"/>
          <w:lang w:val="ro-RO" w:eastAsia="fr-FR"/>
        </w:rPr>
        <w:t>Evidenţa  contabil</w:t>
      </w:r>
      <w:r>
        <w:rPr>
          <w:rFonts w:cs="Tahoma"/>
          <w:color w:val="000000"/>
          <w:lang w:val="ro-RO" w:eastAsia="fr-FR"/>
        </w:rPr>
        <w:t>a</w:t>
      </w:r>
      <w:r w:rsidRPr="0023558B">
        <w:rPr>
          <w:rFonts w:cs="Tahoma"/>
          <w:color w:val="000000"/>
          <w:lang w:val="ro-RO" w:eastAsia="fr-FR"/>
        </w:rPr>
        <w:t xml:space="preserve"> se va organiza pe analitice distincte ale conturilor pe fiecare mod de transport</w:t>
      </w:r>
      <w:r>
        <w:rPr>
          <w:rFonts w:cs="Tahoma"/>
          <w:color w:val="000000"/>
          <w:lang w:val="ro-RO" w:eastAsia="fr-FR"/>
        </w:rPr>
        <w:t xml:space="preserve"> (urban si metropolitan) si UAT in parte </w:t>
      </w:r>
      <w:r w:rsidRPr="0023558B">
        <w:rPr>
          <w:rFonts w:cs="Tahoma"/>
          <w:color w:val="000000"/>
          <w:lang w:val="ro-RO" w:eastAsia="fr-FR"/>
        </w:rPr>
        <w:t>și pe alte activit</w:t>
      </w:r>
      <w:r>
        <w:rPr>
          <w:rFonts w:cs="Tahoma"/>
          <w:color w:val="000000"/>
          <w:lang w:val="ro-RO" w:eastAsia="fr-FR"/>
        </w:rPr>
        <w:t>aţi, in contabilitatea de gestiune.</w:t>
      </w:r>
    </w:p>
    <w:p w14:paraId="2B7E9259" w14:textId="5E2F4BAB" w:rsidR="00BD0021" w:rsidRDefault="00BD0021" w:rsidP="0016164D">
      <w:pPr>
        <w:pStyle w:val="Frspaiere"/>
        <w:spacing w:line="360" w:lineRule="auto"/>
        <w:ind w:firstLine="426"/>
        <w:jc w:val="both"/>
        <w:rPr>
          <w:rFonts w:ascii="Tahoma" w:hAnsi="Tahoma" w:cs="Tahoma"/>
          <w:color w:val="000000"/>
          <w:lang w:val="ro-RO" w:eastAsia="fr-FR"/>
        </w:rPr>
      </w:pPr>
      <w:r>
        <w:rPr>
          <w:rFonts w:ascii="Tahoma" w:hAnsi="Tahoma" w:cs="Tahoma"/>
          <w:color w:val="000000"/>
          <w:lang w:val="ro-RO" w:eastAsia="fr-FR"/>
        </w:rPr>
        <w:t xml:space="preserve">Veniturile din compensatia de exploatare se inregistreaza in conturi analitice distincte pentru fiecare UAT </w:t>
      </w:r>
      <w:r w:rsidR="0016164D">
        <w:rPr>
          <w:rFonts w:ascii="Tahoma" w:hAnsi="Tahoma" w:cs="Tahoma"/>
          <w:color w:val="000000"/>
          <w:lang w:val="ro-RO" w:eastAsia="fr-FR"/>
        </w:rPr>
        <w:t xml:space="preserve">beneficiar </w:t>
      </w:r>
      <w:r>
        <w:rPr>
          <w:rFonts w:ascii="Tahoma" w:hAnsi="Tahoma" w:cs="Tahoma"/>
          <w:color w:val="000000"/>
          <w:lang w:val="ro-RO" w:eastAsia="fr-FR"/>
        </w:rPr>
        <w:t>membr</w:t>
      </w:r>
      <w:r w:rsidR="0016164D">
        <w:rPr>
          <w:rFonts w:ascii="Tahoma" w:hAnsi="Tahoma" w:cs="Tahoma"/>
          <w:color w:val="000000"/>
          <w:lang w:val="ro-RO" w:eastAsia="fr-FR"/>
        </w:rPr>
        <w:t>u</w:t>
      </w:r>
      <w:r>
        <w:rPr>
          <w:rFonts w:ascii="Tahoma" w:hAnsi="Tahoma" w:cs="Tahoma"/>
          <w:color w:val="000000"/>
          <w:lang w:val="ro-RO" w:eastAsia="fr-FR"/>
        </w:rPr>
        <w:t xml:space="preserve"> al Entitatii Contractante</w:t>
      </w:r>
      <w:r w:rsidR="0016164D">
        <w:rPr>
          <w:rFonts w:ascii="Tahoma" w:hAnsi="Tahoma" w:cs="Tahoma"/>
          <w:color w:val="000000"/>
          <w:lang w:val="ro-RO" w:eastAsia="fr-FR"/>
        </w:rPr>
        <w:t xml:space="preserve"> în parte.</w:t>
      </w:r>
    </w:p>
    <w:p w14:paraId="6F7D653C" w14:textId="4594EB32" w:rsidR="00575560" w:rsidRPr="00BD0021" w:rsidRDefault="00BD0021" w:rsidP="00BD0021">
      <w:pPr>
        <w:ind w:left="360"/>
        <w:rPr>
          <w:b/>
          <w:bCs/>
          <w:i/>
          <w:iCs/>
        </w:rPr>
      </w:pPr>
      <w:r>
        <w:rPr>
          <w:b/>
          <w:bCs/>
          <w:i/>
          <w:iCs/>
        </w:rPr>
        <w:t xml:space="preserve">II. </w:t>
      </w:r>
      <w:r w:rsidR="00575560" w:rsidRPr="00BD0021">
        <w:rPr>
          <w:b/>
          <w:bCs/>
          <w:i/>
          <w:iCs/>
        </w:rPr>
        <w:t>Repartiția veniturilor din diferențe de tarif</w:t>
      </w:r>
    </w:p>
    <w:p w14:paraId="6A5610C8" w14:textId="463623E4" w:rsidR="00575560" w:rsidRDefault="00603BBF" w:rsidP="00575560">
      <w:pPr>
        <w:rPr>
          <w:rFonts w:ascii="Arial" w:hAnsi="Arial" w:cs="Arial"/>
          <w:i/>
          <w:iCs/>
        </w:rPr>
      </w:pPr>
      <w:r>
        <w:rPr>
          <w:i/>
          <w:iCs/>
        </w:rPr>
        <w:tab/>
      </w:r>
      <w:r w:rsidR="00575560" w:rsidRPr="00575560">
        <w:rPr>
          <w:i/>
          <w:iCs/>
        </w:rPr>
        <w:t>Repartiția acestor venituri pe fiecare UAT se face în conformitate cu Anexa 6.2-</w:t>
      </w:r>
      <w:r w:rsidR="00575560" w:rsidRPr="00575560">
        <w:rPr>
          <w:rFonts w:ascii="Arial" w:hAnsi="Arial" w:cs="Arial"/>
          <w:i/>
          <w:iCs/>
        </w:rPr>
        <w:t xml:space="preserve"> Modul de acordare și alocare a diferențelor de tarif pentru UAT-uri beneficiare membre ale Entității Contractante</w:t>
      </w:r>
    </w:p>
    <w:p w14:paraId="46CD8048" w14:textId="16115D8F" w:rsidR="00603BBF" w:rsidRDefault="00603BBF" w:rsidP="00603BBF">
      <w:pPr>
        <w:shd w:val="clear" w:color="auto" w:fill="FFFFFF"/>
        <w:spacing w:line="276" w:lineRule="auto"/>
        <w:ind w:firstLine="426"/>
        <w:rPr>
          <w:rFonts w:cs="Tahoma"/>
          <w:color w:val="000000"/>
          <w:lang w:val="ro-RO" w:eastAsia="fr-FR"/>
        </w:rPr>
      </w:pPr>
      <w:r>
        <w:rPr>
          <w:rFonts w:cs="Tahoma"/>
          <w:color w:val="000000"/>
          <w:lang w:val="ro-RO" w:eastAsia="fr-FR"/>
        </w:rPr>
        <w:t xml:space="preserve">Veniturile din diferentele de tarif de care beneficiaza anumite categorii de calatori (revolutionari, veterani de razboi, beneficiari de ajutor social, cetateni cu varsta peste 65 de ani, pensionari cu varsta pana la 65 de ani si un venit din pensie mai mare sau mai mic de 1.000 lei) vor fi evidentiate in conturi analitice distincte pentru fiecare UAT </w:t>
      </w:r>
      <w:r w:rsidR="0016164D">
        <w:rPr>
          <w:rFonts w:cs="Tahoma"/>
          <w:color w:val="000000"/>
          <w:lang w:val="ro-RO" w:eastAsia="fr-FR"/>
        </w:rPr>
        <w:t xml:space="preserve">beneficiar </w:t>
      </w:r>
      <w:r>
        <w:rPr>
          <w:rFonts w:cs="Tahoma"/>
          <w:color w:val="000000"/>
          <w:lang w:val="ro-RO" w:eastAsia="fr-FR"/>
        </w:rPr>
        <w:t>membru al Entitatii Contractante</w:t>
      </w:r>
      <w:r w:rsidR="0016164D">
        <w:rPr>
          <w:rFonts w:cs="Tahoma"/>
          <w:color w:val="000000"/>
          <w:lang w:val="ro-RO" w:eastAsia="fr-FR"/>
        </w:rPr>
        <w:t xml:space="preserve"> în parte</w:t>
      </w:r>
      <w:r>
        <w:rPr>
          <w:rFonts w:cs="Tahoma"/>
          <w:color w:val="000000"/>
          <w:lang w:val="ro-RO" w:eastAsia="fr-FR"/>
        </w:rPr>
        <w:t>, in functie de domiciliul beneficiarului.</w:t>
      </w:r>
    </w:p>
    <w:p w14:paraId="6CA310EF" w14:textId="5A7B50CA" w:rsidR="00603BBF" w:rsidRPr="00575560" w:rsidRDefault="00603BBF" w:rsidP="00603BBF">
      <w:pPr>
        <w:shd w:val="clear" w:color="auto" w:fill="FFFFFF"/>
        <w:spacing w:line="360" w:lineRule="auto"/>
        <w:ind w:firstLine="426"/>
        <w:rPr>
          <w:rFonts w:ascii="Arial" w:hAnsi="Arial" w:cs="Arial"/>
          <w:i/>
          <w:iCs/>
        </w:rPr>
      </w:pPr>
      <w:r>
        <w:rPr>
          <w:rFonts w:cs="Tahoma"/>
          <w:color w:val="000000"/>
          <w:lang w:val="ro-RO" w:eastAsia="fr-FR"/>
        </w:rPr>
        <w:t xml:space="preserve">Veniturile din diferente de tarif de care beneficiaza elevii din invatamantul preuniversitar vor fi evidentiate in conturi analitice distincte pentru fiecare UAT </w:t>
      </w:r>
      <w:r w:rsidR="0016164D">
        <w:rPr>
          <w:rFonts w:cs="Tahoma"/>
          <w:color w:val="000000"/>
          <w:lang w:val="ro-RO" w:eastAsia="fr-FR"/>
        </w:rPr>
        <w:t>beneficiar</w:t>
      </w:r>
      <w:r>
        <w:rPr>
          <w:rFonts w:cs="Tahoma"/>
          <w:color w:val="000000"/>
          <w:lang w:val="ro-RO" w:eastAsia="fr-FR"/>
        </w:rPr>
        <w:t xml:space="preserve"> </w:t>
      </w:r>
      <w:r>
        <w:rPr>
          <w:rFonts w:cs="Tahoma"/>
          <w:color w:val="000000"/>
          <w:lang w:val="ro-RO" w:eastAsia="fr-FR"/>
        </w:rPr>
        <w:lastRenderedPageBreak/>
        <w:t>membru al Entitatii Contractante</w:t>
      </w:r>
      <w:r w:rsidR="0016164D">
        <w:rPr>
          <w:rFonts w:cs="Tahoma"/>
          <w:color w:val="000000"/>
          <w:lang w:val="ro-RO" w:eastAsia="fr-FR"/>
        </w:rPr>
        <w:t xml:space="preserve"> în parte</w:t>
      </w:r>
      <w:r>
        <w:rPr>
          <w:rFonts w:cs="Tahoma"/>
          <w:color w:val="000000"/>
          <w:lang w:val="ro-RO" w:eastAsia="fr-FR"/>
        </w:rPr>
        <w:t>, in functie de raza administrativ teritoriala pe care isi are sediul unitatea de invatamant, unde este scolarizat elevul.</w:t>
      </w:r>
    </w:p>
    <w:p w14:paraId="4C26014D" w14:textId="49E9B1A8" w:rsidR="00575560" w:rsidRDefault="00BD0021" w:rsidP="00BD0021">
      <w:pPr>
        <w:ind w:left="360"/>
        <w:rPr>
          <w:b/>
          <w:bCs/>
          <w:i/>
          <w:iCs/>
        </w:rPr>
      </w:pPr>
      <w:r>
        <w:rPr>
          <w:b/>
          <w:bCs/>
          <w:i/>
          <w:iCs/>
        </w:rPr>
        <w:t xml:space="preserve">III. </w:t>
      </w:r>
      <w:r w:rsidR="00575560" w:rsidRPr="00BD0021">
        <w:rPr>
          <w:b/>
          <w:bCs/>
          <w:i/>
          <w:iCs/>
        </w:rPr>
        <w:t>Repartiția veniturilor din încasări directe</w:t>
      </w:r>
    </w:p>
    <w:p w14:paraId="6A142E67" w14:textId="77777777" w:rsidR="00BD0021" w:rsidRDefault="00BD0021" w:rsidP="00BD0021">
      <w:pPr>
        <w:shd w:val="clear" w:color="auto" w:fill="FFFFFF"/>
        <w:spacing w:line="360" w:lineRule="auto"/>
        <w:ind w:firstLine="426"/>
        <w:rPr>
          <w:rFonts w:cs="Tahoma"/>
          <w:color w:val="000000"/>
          <w:lang w:val="ro-RO" w:eastAsia="fr-FR"/>
        </w:rPr>
      </w:pPr>
      <w:r>
        <w:rPr>
          <w:rFonts w:cs="Tahoma"/>
          <w:color w:val="000000"/>
          <w:lang w:val="ro-RO" w:eastAsia="fr-FR"/>
        </w:rPr>
        <w:t>Celelalte venituri din vanzarea directa catre populatie a biletelor si abonamentelor, din vanzarea produselor reziduale, din activitati diverse-reparatii, chirii spatiu publicitar, din productia de imobilizari corporale, din dobanzi si alte venituri, se vor repartiza pe fiecare UAT</w:t>
      </w:r>
      <w:r w:rsidRPr="00E01F39">
        <w:rPr>
          <w:rFonts w:cs="Tahoma"/>
          <w:color w:val="000000"/>
          <w:lang w:val="ro-RO" w:eastAsia="fr-FR"/>
        </w:rPr>
        <w:t xml:space="preserve"> </w:t>
      </w:r>
      <w:r>
        <w:rPr>
          <w:rFonts w:cs="Tahoma"/>
          <w:color w:val="000000"/>
          <w:lang w:val="ro-RO" w:eastAsia="fr-FR"/>
        </w:rPr>
        <w:t xml:space="preserve">in parte, membru al Entitatii Contractante, </w:t>
      </w:r>
      <w:r>
        <w:rPr>
          <w:rFonts w:cs="Tahoma"/>
          <w:color w:val="000000"/>
          <w:kern w:val="20"/>
          <w:lang w:val="ro-RO"/>
        </w:rPr>
        <w:t>prin alocarea unei chei de repartizare in functie de ponderea km efectiv realizati lunar, aferenti fiecarui UAT in parte, in totalul km efectiv realizati lunar pentru indeplinirea obligatiei serviciului public de transport local de calatori,utilizand coeficientul de repartizare K1.</w:t>
      </w:r>
    </w:p>
    <w:p w14:paraId="68B7C2EA" w14:textId="3B594FC3" w:rsidR="00DD534F" w:rsidRDefault="00DD534F" w:rsidP="00FC5E80">
      <w:pPr>
        <w:spacing w:before="120" w:after="120" w:line="276" w:lineRule="auto"/>
        <w:rPr>
          <w:rFonts w:cs="Tahoma"/>
          <w:bCs/>
          <w:lang w:val="ro-RO"/>
        </w:rPr>
      </w:pPr>
    </w:p>
    <w:p w14:paraId="6C55AE13" w14:textId="77777777" w:rsidR="003615B8" w:rsidRPr="00210B3D" w:rsidRDefault="003615B8" w:rsidP="00FC5E80">
      <w:pPr>
        <w:spacing w:before="120" w:after="120" w:line="276" w:lineRule="auto"/>
        <w:rPr>
          <w:rFonts w:cs="Tahoma"/>
          <w:bCs/>
          <w:lang w:val="ro-RO"/>
        </w:rPr>
      </w:pPr>
    </w:p>
    <w:sectPr w:rsidR="003615B8" w:rsidRPr="00210B3D" w:rsidSect="00BD0021">
      <w:pgSz w:w="12240" w:h="15840"/>
      <w:pgMar w:top="1440"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8138B"/>
    <w:multiLevelType w:val="hybridMultilevel"/>
    <w:tmpl w:val="8C201BE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E6130C7"/>
    <w:multiLevelType w:val="hybridMultilevel"/>
    <w:tmpl w:val="8C201BE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DB24594"/>
    <w:multiLevelType w:val="hybridMultilevel"/>
    <w:tmpl w:val="9B14D79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FA5166"/>
    <w:multiLevelType w:val="hybridMultilevel"/>
    <w:tmpl w:val="DA0230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4484325"/>
    <w:multiLevelType w:val="hybridMultilevel"/>
    <w:tmpl w:val="E14A98C0"/>
    <w:lvl w:ilvl="0" w:tplc="2574259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D129EA"/>
    <w:multiLevelType w:val="hybridMultilevel"/>
    <w:tmpl w:val="71568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164F2D"/>
    <w:multiLevelType w:val="hybridMultilevel"/>
    <w:tmpl w:val="622CB86E"/>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AE0"/>
    <w:rsid w:val="00042AE0"/>
    <w:rsid w:val="0016164D"/>
    <w:rsid w:val="00172D45"/>
    <w:rsid w:val="001A69E0"/>
    <w:rsid w:val="00210B3D"/>
    <w:rsid w:val="0035570D"/>
    <w:rsid w:val="003615B8"/>
    <w:rsid w:val="00565B02"/>
    <w:rsid w:val="00575560"/>
    <w:rsid w:val="00603BBF"/>
    <w:rsid w:val="0072719F"/>
    <w:rsid w:val="00774BA4"/>
    <w:rsid w:val="007F7CB6"/>
    <w:rsid w:val="00806C9E"/>
    <w:rsid w:val="009412C8"/>
    <w:rsid w:val="009C5490"/>
    <w:rsid w:val="00A973E1"/>
    <w:rsid w:val="00B60237"/>
    <w:rsid w:val="00BD0021"/>
    <w:rsid w:val="00BD596D"/>
    <w:rsid w:val="00C07F9B"/>
    <w:rsid w:val="00CE0768"/>
    <w:rsid w:val="00CE1FD0"/>
    <w:rsid w:val="00DB4352"/>
    <w:rsid w:val="00DD534F"/>
    <w:rsid w:val="00E2388A"/>
    <w:rsid w:val="00E52014"/>
    <w:rsid w:val="00EA73E2"/>
    <w:rsid w:val="00EE0A1C"/>
    <w:rsid w:val="00FC04D6"/>
    <w:rsid w:val="00FC5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0A44"/>
  <w15:chartTrackingRefBased/>
  <w15:docId w15:val="{869DF394-4AA1-4F8D-BBA2-9677C9A6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D45"/>
    <w:pPr>
      <w:spacing w:before="100" w:beforeAutospacing="1" w:after="0" w:line="264" w:lineRule="auto"/>
      <w:jc w:val="both"/>
    </w:pPr>
    <w:rPr>
      <w:rFonts w:ascii="Tahoma" w:eastAsia="Times New Roman" w:hAnsi="Tahoma"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Body">
    <w:name w:val="Body"/>
    <w:basedOn w:val="Normal"/>
    <w:link w:val="BodyChar"/>
    <w:rsid w:val="00172D45"/>
    <w:pPr>
      <w:spacing w:before="0" w:beforeAutospacing="0" w:after="140" w:line="290" w:lineRule="auto"/>
    </w:pPr>
    <w:rPr>
      <w:rFonts w:ascii="Arial" w:hAnsi="Arial"/>
      <w:kern w:val="20"/>
      <w:sz w:val="18"/>
      <w:lang w:val="en-GB"/>
    </w:rPr>
  </w:style>
  <w:style w:type="character" w:customStyle="1" w:styleId="BodyChar">
    <w:name w:val="Body Char"/>
    <w:link w:val="Body"/>
    <w:rsid w:val="00172D45"/>
    <w:rPr>
      <w:rFonts w:ascii="Arial" w:eastAsia="Times New Roman" w:hAnsi="Arial" w:cs="Times New Roman"/>
      <w:kern w:val="20"/>
      <w:sz w:val="18"/>
      <w:szCs w:val="24"/>
      <w:lang w:val="en-GB"/>
    </w:rPr>
  </w:style>
  <w:style w:type="paragraph" w:styleId="Listparagraf">
    <w:name w:val="List Paragraph"/>
    <w:aliases w:val="Appendix_llevel1,body 2,List Paragraph1,List Paragraph11,Antes de enumeración,Párrafo de lista1"/>
    <w:basedOn w:val="Normal"/>
    <w:link w:val="ListparagrafCaracter"/>
    <w:uiPriority w:val="34"/>
    <w:qFormat/>
    <w:rsid w:val="00CE1FD0"/>
    <w:pPr>
      <w:ind w:left="720"/>
      <w:contextualSpacing/>
    </w:pPr>
  </w:style>
  <w:style w:type="character" w:customStyle="1" w:styleId="ListparagrafCaracter">
    <w:name w:val="Listă paragraf Caracter"/>
    <w:aliases w:val="Appendix_llevel1 Caracter,body 2 Caracter,List Paragraph1 Caracter,List Paragraph11 Caracter,Antes de enumeración Caracter,Párrafo de lista1 Caracter"/>
    <w:link w:val="Listparagraf"/>
    <w:uiPriority w:val="34"/>
    <w:locked/>
    <w:rsid w:val="00BD0021"/>
    <w:rPr>
      <w:rFonts w:ascii="Tahoma" w:eastAsia="Times New Roman" w:hAnsi="Tahoma" w:cs="Times New Roman"/>
      <w:sz w:val="24"/>
      <w:szCs w:val="24"/>
    </w:rPr>
  </w:style>
  <w:style w:type="paragraph" w:styleId="Frspaiere">
    <w:name w:val="No Spacing"/>
    <w:uiPriority w:val="1"/>
    <w:qFormat/>
    <w:rsid w:val="00BD002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78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449</Words>
  <Characters>2609</Characters>
  <Application>Microsoft Office Word</Application>
  <DocSecurity>0</DocSecurity>
  <Lines>21</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geanina.suditu</dc:creator>
  <cp:keywords/>
  <dc:description/>
  <cp:lastModifiedBy>Director Economic</cp:lastModifiedBy>
  <cp:revision>22</cp:revision>
  <dcterms:created xsi:type="dcterms:W3CDTF">2022-02-07T04:09:00Z</dcterms:created>
  <dcterms:modified xsi:type="dcterms:W3CDTF">2022-02-10T10:50:00Z</dcterms:modified>
</cp:coreProperties>
</file>