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0FB6" w:rsidRPr="00EA4A9A" w:rsidRDefault="00FC0FB6" w:rsidP="00FC0FB6">
      <w:pPr>
        <w:jc w:val="right"/>
        <w:rPr>
          <w:b/>
          <w:color w:val="000000"/>
          <w:lang w:val="it-IT"/>
        </w:rPr>
      </w:pPr>
    </w:p>
    <w:p w:rsidR="00FC0FB6" w:rsidRPr="00EA4A9A" w:rsidRDefault="00FC0FB6" w:rsidP="00FC0FB6">
      <w:pPr>
        <w:jc w:val="right"/>
      </w:pPr>
    </w:p>
    <w:p w:rsidR="00FC0FB6" w:rsidRPr="00D47E1A" w:rsidRDefault="00FC0FB6" w:rsidP="00FC0FB6">
      <w:pPr>
        <w:jc w:val="both"/>
        <w:rPr>
          <w:b/>
        </w:rPr>
      </w:pPr>
      <w:r w:rsidRPr="00D47E1A">
        <w:rPr>
          <w:b/>
        </w:rPr>
        <w:t xml:space="preserve">       JUDEŢUL ARGEŞ</w:t>
      </w:r>
      <w:r w:rsidRPr="00D47E1A">
        <w:rPr>
          <w:b/>
        </w:rPr>
        <w:tab/>
      </w:r>
      <w:r w:rsidRPr="00D47E1A">
        <w:rPr>
          <w:b/>
        </w:rPr>
        <w:tab/>
        <w:t xml:space="preserve">                        </w:t>
      </w:r>
      <w:r>
        <w:rPr>
          <w:b/>
        </w:rPr>
        <w:t xml:space="preserve"> </w:t>
      </w:r>
      <w:r w:rsidRPr="00D47E1A">
        <w:rPr>
          <w:b/>
        </w:rPr>
        <w:t xml:space="preserve">Anexă la H.C.J. nr. </w:t>
      </w:r>
      <w:r>
        <w:rPr>
          <w:b/>
        </w:rPr>
        <w:t>_______/_________</w:t>
      </w:r>
    </w:p>
    <w:p w:rsidR="00FC0FB6" w:rsidRPr="00D47E1A" w:rsidRDefault="00FC0FB6" w:rsidP="00FC0FB6">
      <w:pPr>
        <w:jc w:val="both"/>
        <w:rPr>
          <w:b/>
        </w:rPr>
      </w:pPr>
      <w:r w:rsidRPr="00D47E1A">
        <w:rPr>
          <w:b/>
        </w:rPr>
        <w:t>DIRECŢIA ECONOMICĂ</w:t>
      </w:r>
      <w:r w:rsidRPr="00D47E1A">
        <w:rPr>
          <w:b/>
        </w:rPr>
        <w:tab/>
      </w:r>
    </w:p>
    <w:p w:rsidR="00FC0FB6" w:rsidRPr="00D47E1A" w:rsidRDefault="00FC0FB6" w:rsidP="00FC0FB6">
      <w:pPr>
        <w:jc w:val="both"/>
        <w:rPr>
          <w:b/>
        </w:rPr>
      </w:pPr>
      <w:r w:rsidRPr="00D47E1A">
        <w:rPr>
          <w:b/>
        </w:rPr>
        <w:tab/>
      </w:r>
      <w:r w:rsidRPr="00D47E1A">
        <w:rPr>
          <w:b/>
        </w:rPr>
        <w:tab/>
      </w:r>
      <w:r w:rsidRPr="00D47E1A">
        <w:rPr>
          <w:b/>
        </w:rPr>
        <w:tab/>
      </w:r>
      <w:r w:rsidRPr="00D47E1A">
        <w:rPr>
          <w:b/>
        </w:rPr>
        <w:tab/>
      </w:r>
      <w:r w:rsidRPr="00D47E1A">
        <w:rPr>
          <w:b/>
        </w:rPr>
        <w:tab/>
      </w:r>
      <w:r w:rsidRPr="00D47E1A">
        <w:rPr>
          <w:b/>
        </w:rPr>
        <w:tab/>
      </w:r>
    </w:p>
    <w:p w:rsidR="00FC0FB6" w:rsidRPr="00D47E1A" w:rsidRDefault="00FC0FB6" w:rsidP="00FC0FB6">
      <w:pPr>
        <w:jc w:val="both"/>
        <w:rPr>
          <w:b/>
          <w:i/>
        </w:rPr>
      </w:pPr>
      <w:r w:rsidRPr="00D47E1A">
        <w:rPr>
          <w:b/>
        </w:rPr>
        <w:tab/>
      </w:r>
      <w:r w:rsidRPr="00D47E1A">
        <w:rPr>
          <w:b/>
        </w:rPr>
        <w:tab/>
      </w:r>
      <w:r w:rsidRPr="00D47E1A">
        <w:rPr>
          <w:b/>
        </w:rPr>
        <w:tab/>
      </w:r>
      <w:r w:rsidRPr="00D47E1A">
        <w:rPr>
          <w:b/>
        </w:rPr>
        <w:tab/>
      </w:r>
      <w:r w:rsidRPr="00D47E1A">
        <w:rPr>
          <w:b/>
        </w:rPr>
        <w:tab/>
      </w:r>
      <w:r w:rsidRPr="00D47E1A">
        <w:rPr>
          <w:b/>
        </w:rPr>
        <w:tab/>
      </w:r>
      <w:r w:rsidRPr="00D47E1A">
        <w:rPr>
          <w:b/>
        </w:rPr>
        <w:tab/>
      </w:r>
      <w:r w:rsidRPr="00D47E1A">
        <w:rPr>
          <w:b/>
        </w:rPr>
        <w:tab/>
      </w:r>
      <w:r w:rsidRPr="00D47E1A">
        <w:rPr>
          <w:b/>
        </w:rPr>
        <w:tab/>
      </w:r>
      <w:r w:rsidRPr="00D47E1A">
        <w:rPr>
          <w:b/>
        </w:rPr>
        <w:tab/>
        <w:t xml:space="preserve">        </w:t>
      </w:r>
      <w:r w:rsidRPr="00D47E1A">
        <w:rPr>
          <w:b/>
          <w:i/>
        </w:rPr>
        <w:t>APROB</w:t>
      </w:r>
    </w:p>
    <w:p w:rsidR="00FC0FB6" w:rsidRPr="00D47E1A" w:rsidRDefault="00FC0FB6" w:rsidP="00FC0FB6">
      <w:pPr>
        <w:jc w:val="both"/>
        <w:rPr>
          <w:b/>
          <w:i/>
        </w:rPr>
      </w:pPr>
      <w:r w:rsidRPr="00D47E1A">
        <w:rPr>
          <w:b/>
          <w:i/>
        </w:rPr>
        <w:tab/>
      </w:r>
      <w:r w:rsidRPr="00D47E1A">
        <w:rPr>
          <w:b/>
          <w:i/>
        </w:rPr>
        <w:tab/>
      </w:r>
      <w:r w:rsidRPr="00D47E1A">
        <w:rPr>
          <w:b/>
          <w:i/>
        </w:rPr>
        <w:tab/>
      </w:r>
      <w:r w:rsidRPr="00D47E1A">
        <w:rPr>
          <w:b/>
          <w:i/>
        </w:rPr>
        <w:tab/>
      </w:r>
      <w:r w:rsidRPr="00D47E1A">
        <w:rPr>
          <w:b/>
          <w:i/>
        </w:rPr>
        <w:tab/>
      </w:r>
      <w:r w:rsidRPr="00D47E1A">
        <w:rPr>
          <w:b/>
          <w:i/>
        </w:rPr>
        <w:tab/>
      </w:r>
      <w:r w:rsidRPr="00D47E1A">
        <w:rPr>
          <w:b/>
          <w:i/>
        </w:rPr>
        <w:tab/>
      </w:r>
      <w:r w:rsidRPr="00D47E1A">
        <w:rPr>
          <w:b/>
          <w:i/>
        </w:rPr>
        <w:tab/>
      </w:r>
      <w:r w:rsidRPr="00D47E1A">
        <w:rPr>
          <w:b/>
          <w:i/>
        </w:rPr>
        <w:tab/>
      </w:r>
      <w:r w:rsidRPr="00D47E1A">
        <w:rPr>
          <w:b/>
          <w:i/>
        </w:rPr>
        <w:tab/>
        <w:t xml:space="preserve">  PREŞEDINTE,</w:t>
      </w:r>
    </w:p>
    <w:p w:rsidR="00FC0FB6" w:rsidRPr="00D47E1A" w:rsidRDefault="00FC0FB6" w:rsidP="00FC0FB6">
      <w:pPr>
        <w:jc w:val="both"/>
        <w:rPr>
          <w:b/>
          <w:i/>
        </w:rPr>
      </w:pPr>
      <w:r w:rsidRPr="00D47E1A">
        <w:rPr>
          <w:b/>
          <w:i/>
        </w:rPr>
        <w:tab/>
      </w:r>
      <w:r w:rsidRPr="00D47E1A">
        <w:rPr>
          <w:b/>
          <w:i/>
        </w:rPr>
        <w:tab/>
      </w:r>
      <w:r w:rsidRPr="00D47E1A">
        <w:rPr>
          <w:b/>
          <w:i/>
        </w:rPr>
        <w:tab/>
      </w:r>
      <w:r w:rsidRPr="00D47E1A">
        <w:rPr>
          <w:b/>
          <w:i/>
        </w:rPr>
        <w:tab/>
      </w:r>
      <w:r w:rsidRPr="00D47E1A">
        <w:rPr>
          <w:b/>
          <w:i/>
        </w:rPr>
        <w:tab/>
      </w:r>
      <w:r w:rsidRPr="00D47E1A">
        <w:rPr>
          <w:b/>
          <w:i/>
        </w:rPr>
        <w:tab/>
      </w:r>
      <w:r w:rsidRPr="00D47E1A">
        <w:rPr>
          <w:b/>
          <w:i/>
        </w:rPr>
        <w:tab/>
      </w:r>
      <w:r w:rsidRPr="00D47E1A">
        <w:rPr>
          <w:b/>
          <w:i/>
        </w:rPr>
        <w:tab/>
      </w:r>
      <w:r w:rsidRPr="00D47E1A">
        <w:rPr>
          <w:b/>
          <w:i/>
        </w:rPr>
        <w:tab/>
      </w:r>
      <w:r w:rsidRPr="00D47E1A">
        <w:rPr>
          <w:b/>
          <w:i/>
        </w:rPr>
        <w:tab/>
        <w:t xml:space="preserve">    </w:t>
      </w:r>
      <w:r w:rsidRPr="00D47E1A">
        <w:rPr>
          <w:b/>
        </w:rPr>
        <w:t>Ion MÎNZÎNĂ</w:t>
      </w:r>
    </w:p>
    <w:p w:rsidR="00FC0FB6" w:rsidRPr="00D47E1A" w:rsidRDefault="00FC0FB6" w:rsidP="00FC0FB6">
      <w:pPr>
        <w:jc w:val="both"/>
        <w:rPr>
          <w:b/>
        </w:rPr>
      </w:pPr>
    </w:p>
    <w:p w:rsidR="00FC0FB6" w:rsidRPr="00D47E1A" w:rsidRDefault="00FC0FB6" w:rsidP="00FC0FB6">
      <w:pPr>
        <w:tabs>
          <w:tab w:val="left" w:pos="720"/>
          <w:tab w:val="left" w:pos="1440"/>
          <w:tab w:val="center" w:pos="7938"/>
          <w:tab w:val="right" w:pos="9503"/>
        </w:tabs>
        <w:jc w:val="both"/>
        <w:rPr>
          <w:b/>
        </w:rPr>
      </w:pPr>
    </w:p>
    <w:p w:rsidR="00FC0FB6" w:rsidRPr="00D47E1A" w:rsidRDefault="00FC0FB6" w:rsidP="00FC0FB6">
      <w:pPr>
        <w:tabs>
          <w:tab w:val="left" w:pos="720"/>
          <w:tab w:val="left" w:pos="1440"/>
          <w:tab w:val="center" w:pos="7938"/>
          <w:tab w:val="right" w:pos="9503"/>
        </w:tabs>
        <w:jc w:val="both"/>
      </w:pPr>
    </w:p>
    <w:p w:rsidR="00FC0FB6" w:rsidRPr="00D47E1A" w:rsidRDefault="00FC0FB6" w:rsidP="00FC0FB6">
      <w:pPr>
        <w:tabs>
          <w:tab w:val="left" w:pos="720"/>
          <w:tab w:val="left" w:pos="1440"/>
          <w:tab w:val="center" w:pos="7938"/>
          <w:tab w:val="right" w:pos="9503"/>
        </w:tabs>
        <w:jc w:val="both"/>
        <w:rPr>
          <w:b/>
        </w:rPr>
      </w:pPr>
      <w:r w:rsidRPr="00D47E1A">
        <w:rPr>
          <w:b/>
        </w:rPr>
        <w:t xml:space="preserve">                    VIZAT                                                 VIZAT                                          VIZAT  </w:t>
      </w:r>
    </w:p>
    <w:p w:rsidR="00FC0FB6" w:rsidRPr="00D47E1A" w:rsidRDefault="00FC0FB6" w:rsidP="00FC0FB6">
      <w:pPr>
        <w:tabs>
          <w:tab w:val="left" w:pos="720"/>
          <w:tab w:val="left" w:pos="1440"/>
          <w:tab w:val="center" w:pos="7938"/>
          <w:tab w:val="right" w:pos="9503"/>
        </w:tabs>
        <w:jc w:val="both"/>
        <w:rPr>
          <w:b/>
        </w:rPr>
      </w:pPr>
      <w:r w:rsidRPr="00D47E1A">
        <w:rPr>
          <w:b/>
        </w:rPr>
        <w:t xml:space="preserve">         </w:t>
      </w:r>
      <w:r>
        <w:rPr>
          <w:b/>
        </w:rPr>
        <w:t xml:space="preserve">VICEPREȘEDINTE,            </w:t>
      </w:r>
      <w:r w:rsidRPr="00D47E1A">
        <w:rPr>
          <w:b/>
        </w:rPr>
        <w:t xml:space="preserve">  VICE</w:t>
      </w:r>
      <w:r>
        <w:rPr>
          <w:b/>
        </w:rPr>
        <w:t xml:space="preserve">PREȘEDINTE,         </w:t>
      </w:r>
      <w:r w:rsidRPr="00D47E1A">
        <w:rPr>
          <w:b/>
        </w:rPr>
        <w:t xml:space="preserve">   SECRETAR GENERAL </w:t>
      </w:r>
    </w:p>
    <w:p w:rsidR="00FC0FB6" w:rsidRPr="00D47E1A" w:rsidRDefault="00FC0FB6" w:rsidP="00FC0FB6">
      <w:pPr>
        <w:tabs>
          <w:tab w:val="left" w:pos="720"/>
          <w:tab w:val="left" w:pos="1440"/>
          <w:tab w:val="center" w:pos="7938"/>
          <w:tab w:val="right" w:pos="9503"/>
        </w:tabs>
        <w:jc w:val="both"/>
        <w:rPr>
          <w:b/>
        </w:rPr>
      </w:pPr>
      <w:r w:rsidRPr="00D47E1A">
        <w:rPr>
          <w:b/>
        </w:rPr>
        <w:tab/>
        <w:t xml:space="preserve">    </w:t>
      </w:r>
      <w:r w:rsidRPr="00D47E1A">
        <w:rPr>
          <w:b/>
        </w:rPr>
        <w:tab/>
      </w:r>
      <w:r w:rsidRPr="00D47E1A">
        <w:rPr>
          <w:b/>
        </w:rPr>
        <w:tab/>
        <w:t xml:space="preserve">              </w:t>
      </w:r>
      <w:r>
        <w:rPr>
          <w:b/>
        </w:rPr>
        <w:t xml:space="preserve">  </w:t>
      </w:r>
      <w:r w:rsidRPr="00D47E1A">
        <w:rPr>
          <w:b/>
        </w:rPr>
        <w:t xml:space="preserve">       AL JUDEȚULUI</w:t>
      </w:r>
    </w:p>
    <w:p w:rsidR="00FC0FB6" w:rsidRPr="00D47E1A" w:rsidRDefault="00FC0FB6" w:rsidP="00FC0FB6">
      <w:pPr>
        <w:tabs>
          <w:tab w:val="left" w:pos="720"/>
          <w:tab w:val="left" w:pos="1440"/>
          <w:tab w:val="center" w:pos="7938"/>
          <w:tab w:val="right" w:pos="9503"/>
        </w:tabs>
        <w:jc w:val="both"/>
        <w:rPr>
          <w:b/>
        </w:rPr>
      </w:pPr>
      <w:r w:rsidRPr="00D47E1A">
        <w:rPr>
          <w:b/>
        </w:rPr>
        <w:t>Marius Florinel NICOLAESCU           Adr</w:t>
      </w:r>
      <w:r>
        <w:rPr>
          <w:b/>
        </w:rPr>
        <w:t>ian Dumitru BUGHIU</w:t>
      </w:r>
      <w:r>
        <w:rPr>
          <w:b/>
        </w:rPr>
        <w:tab/>
        <w:t xml:space="preserve">        </w:t>
      </w:r>
      <w:r w:rsidRPr="00D47E1A">
        <w:rPr>
          <w:b/>
        </w:rPr>
        <w:t xml:space="preserve">         Ionel VOICA</w:t>
      </w:r>
    </w:p>
    <w:p w:rsidR="00FC0FB6" w:rsidRPr="00D47E1A" w:rsidRDefault="00FC0FB6" w:rsidP="00FC0FB6">
      <w:pPr>
        <w:jc w:val="both"/>
        <w:rPr>
          <w:b/>
        </w:rPr>
      </w:pPr>
    </w:p>
    <w:p w:rsidR="00FC0FB6" w:rsidRPr="00D47E1A" w:rsidRDefault="00FC0FB6" w:rsidP="00FC0FB6">
      <w:pPr>
        <w:jc w:val="both"/>
        <w:rPr>
          <w:b/>
        </w:rPr>
      </w:pPr>
    </w:p>
    <w:p w:rsidR="00FC0FB6" w:rsidRPr="00D47E1A" w:rsidRDefault="00FC0FB6" w:rsidP="00FC0FB6">
      <w:pPr>
        <w:jc w:val="both"/>
        <w:rPr>
          <w:b/>
        </w:rPr>
      </w:pPr>
    </w:p>
    <w:p w:rsidR="00FC0FB6" w:rsidRPr="00D47E1A" w:rsidRDefault="00FC0FB6" w:rsidP="00FC0FB6">
      <w:pPr>
        <w:jc w:val="center"/>
        <w:rPr>
          <w:b/>
        </w:rPr>
      </w:pPr>
      <w:r w:rsidRPr="00D47E1A">
        <w:rPr>
          <w:b/>
        </w:rPr>
        <w:t>RAPORT</w:t>
      </w:r>
    </w:p>
    <w:p w:rsidR="00FC0FB6" w:rsidRPr="00D47E1A" w:rsidRDefault="00FC0FB6" w:rsidP="00FC0FB6">
      <w:pPr>
        <w:jc w:val="center"/>
        <w:rPr>
          <w:b/>
        </w:rPr>
      </w:pPr>
      <w:r w:rsidRPr="00D47E1A">
        <w:rPr>
          <w:b/>
        </w:rPr>
        <w:t>PRIVIND EXECUŢIA BUGETARĂ LA DATA DE 31.12.2021</w:t>
      </w:r>
    </w:p>
    <w:p w:rsidR="00FC0FB6" w:rsidRPr="00D47E1A" w:rsidRDefault="00FC0FB6" w:rsidP="00FC0FB6">
      <w:pPr>
        <w:jc w:val="center"/>
        <w:rPr>
          <w:b/>
        </w:rPr>
      </w:pPr>
      <w:r w:rsidRPr="00D47E1A">
        <w:rPr>
          <w:b/>
        </w:rPr>
        <w:t>PENTRU ACTIVITATEA JUDEŢULUI ARGEŞ</w:t>
      </w:r>
    </w:p>
    <w:p w:rsidR="00FC0FB6" w:rsidRPr="00D47E1A" w:rsidRDefault="00FC0FB6" w:rsidP="00FC0FB6">
      <w:pPr>
        <w:jc w:val="center"/>
      </w:pPr>
    </w:p>
    <w:p w:rsidR="00FC0FB6" w:rsidRPr="00D47E1A" w:rsidRDefault="00FC0FB6" w:rsidP="00FC0FB6">
      <w:pPr>
        <w:ind w:firstLine="720"/>
        <w:jc w:val="both"/>
      </w:pPr>
      <w:r w:rsidRPr="00D47E1A">
        <w:t>Judeţul Argeş a efectuat la data de 31.12.2021 plăţi în sumă de 369.996.981 lei (buget local), 560.657.857 lei (buget instituţii publice şi activităţi finanţate integral sau parţial din venituri proprii) și 525.150 lei (bugetul creditelor interne), pentru finanţarea următoarelor acţiuni: autorităţi publice şi acţiuni externe, alte servicii publice generale, tranzacții privind datoria publică și împrumuturi (plată dobândă împrumuturi), apărare, ordine publică şi siguranţă naţională, învăţământ primar special şi programul „Lapte şi corn”, sănătate, cultură, religie şi acţiuni privind activitatea sportivă şi de tineret, asistenţă socială, locuințe, servicii şi dezvoltare publică, acţiuni generale economice, comerciale și de muncă  (dezvoltare regională, protocol), transporturi, turism, pază şi ordine.</w:t>
      </w:r>
    </w:p>
    <w:p w:rsidR="00FC0FB6" w:rsidRPr="00D47E1A" w:rsidRDefault="00FC0FB6" w:rsidP="00FC0FB6">
      <w:pPr>
        <w:jc w:val="both"/>
      </w:pPr>
      <w:r w:rsidRPr="00D47E1A">
        <w:tab/>
        <w:t>Prevederile bugetare, atât pe capitole de cheltuieli şi diviziuni ale clasificaţiei bugetare (activităţi economice), cât şi pe natura cheltuielilor (titluri de cheltuieli), au fost dimensionate în funcţie de baza legală a cheltuielilor, ţinându-se seama de priorităţi în angajarea acestora.</w:t>
      </w:r>
    </w:p>
    <w:p w:rsidR="00FC0FB6" w:rsidRPr="00D47E1A" w:rsidRDefault="00FC0FB6" w:rsidP="00FC0FB6">
      <w:pPr>
        <w:ind w:firstLine="720"/>
        <w:jc w:val="both"/>
      </w:pPr>
      <w:r w:rsidRPr="00D47E1A">
        <w:t xml:space="preserve">La data de 31.12.2021, Judeţul Argeş a încasat venituri ale </w:t>
      </w:r>
      <w:r w:rsidRPr="00D47E1A">
        <w:rPr>
          <w:i/>
        </w:rPr>
        <w:t>bugetului local</w:t>
      </w:r>
      <w:r w:rsidRPr="00D47E1A">
        <w:t xml:space="preserve"> în sumă de</w:t>
      </w:r>
      <w:r w:rsidRPr="00D47E1A">
        <w:rPr>
          <w:b/>
        </w:rPr>
        <w:t xml:space="preserve"> 369.824.769 lei</w:t>
      </w:r>
      <w:r w:rsidRPr="00D47E1A">
        <w:t xml:space="preserve">, din care cele mai importante categorii:      </w:t>
      </w:r>
    </w:p>
    <w:p w:rsidR="00FC0FB6" w:rsidRPr="00D47E1A" w:rsidRDefault="00FC0FB6" w:rsidP="00FC0FB6">
      <w:pPr>
        <w:numPr>
          <w:ilvl w:val="0"/>
          <w:numId w:val="2"/>
        </w:numPr>
        <w:tabs>
          <w:tab w:val="left" w:pos="0"/>
        </w:tabs>
      </w:pPr>
      <w:r w:rsidRPr="00D47E1A">
        <w:t>Venituri fiscale - 293.740.987 lei;</w:t>
      </w:r>
    </w:p>
    <w:p w:rsidR="00FC0FB6" w:rsidRPr="00D47E1A" w:rsidRDefault="00FC0FB6" w:rsidP="00FC0FB6">
      <w:pPr>
        <w:numPr>
          <w:ilvl w:val="0"/>
          <w:numId w:val="2"/>
        </w:numPr>
        <w:tabs>
          <w:tab w:val="left" w:pos="0"/>
        </w:tabs>
      </w:pPr>
      <w:r w:rsidRPr="00D47E1A">
        <w:t>Venituri nefiscale -5.939.401 lei;</w:t>
      </w:r>
    </w:p>
    <w:p w:rsidR="00FC0FB6" w:rsidRPr="00D47E1A" w:rsidRDefault="00FC0FB6" w:rsidP="00FC0FB6">
      <w:pPr>
        <w:numPr>
          <w:ilvl w:val="0"/>
          <w:numId w:val="2"/>
        </w:numPr>
        <w:tabs>
          <w:tab w:val="left" w:pos="0"/>
        </w:tabs>
        <w:rPr>
          <w:b/>
        </w:rPr>
      </w:pPr>
      <w:r w:rsidRPr="00D47E1A">
        <w:t>Finanţarea drepturilor acordate persoanelor cu handicap  - 1.010.105 lei;</w:t>
      </w:r>
    </w:p>
    <w:p w:rsidR="00FC0FB6" w:rsidRPr="00D47E1A" w:rsidRDefault="00FC0FB6" w:rsidP="00FC0FB6">
      <w:pPr>
        <w:numPr>
          <w:ilvl w:val="0"/>
          <w:numId w:val="2"/>
        </w:numPr>
        <w:tabs>
          <w:tab w:val="left" w:pos="0"/>
          <w:tab w:val="left" w:pos="720"/>
          <w:tab w:val="left" w:pos="1440"/>
          <w:tab w:val="center" w:pos="7938"/>
          <w:tab w:val="right" w:pos="9503"/>
        </w:tabs>
        <w:rPr>
          <w:b/>
        </w:rPr>
      </w:pPr>
      <w:r w:rsidRPr="00D47E1A">
        <w:t>Subvenții din bugetul de stat pentru finanţarea unităţilor de asistenţă medico-sociale - 4.977.694 lei;</w:t>
      </w:r>
    </w:p>
    <w:p w:rsidR="00FC0FB6" w:rsidRPr="00D47E1A" w:rsidRDefault="00FC0FB6" w:rsidP="00FC0FB6">
      <w:pPr>
        <w:numPr>
          <w:ilvl w:val="0"/>
          <w:numId w:val="2"/>
        </w:numPr>
        <w:tabs>
          <w:tab w:val="left" w:pos="0"/>
          <w:tab w:val="left" w:pos="720"/>
          <w:tab w:val="left" w:pos="1440"/>
          <w:tab w:val="center" w:pos="7938"/>
          <w:tab w:val="right" w:pos="9503"/>
        </w:tabs>
      </w:pPr>
      <w:r w:rsidRPr="00D47E1A">
        <w:t>Finanțarea Programului Național de Dezvoltare Locală - 19.582.805 lei;</w:t>
      </w:r>
    </w:p>
    <w:p w:rsidR="00FC0FB6" w:rsidRPr="00D47E1A" w:rsidRDefault="00FC0FB6" w:rsidP="00FC0FB6">
      <w:pPr>
        <w:numPr>
          <w:ilvl w:val="0"/>
          <w:numId w:val="2"/>
        </w:numPr>
        <w:tabs>
          <w:tab w:val="left" w:pos="0"/>
          <w:tab w:val="left" w:pos="720"/>
          <w:tab w:val="left" w:pos="1440"/>
          <w:tab w:val="center" w:pos="7938"/>
          <w:tab w:val="right" w:pos="9503"/>
        </w:tabs>
      </w:pPr>
      <w:r w:rsidRPr="00D47E1A">
        <w:t>Subvenții de la bugetul de stat către bugetele locale necesare susținerii derulării proiectelor finanțate din fonduri externe nerabursabile (FEN) postaderare, aferente perioadei de programare 2014-2020 - 5.880.129 lei;</w:t>
      </w:r>
    </w:p>
    <w:p w:rsidR="00FC0FB6" w:rsidRPr="00D47E1A" w:rsidRDefault="00FC0FB6" w:rsidP="00FC0FB6">
      <w:pPr>
        <w:numPr>
          <w:ilvl w:val="0"/>
          <w:numId w:val="2"/>
        </w:numPr>
        <w:tabs>
          <w:tab w:val="left" w:pos="720"/>
          <w:tab w:val="left" w:pos="1440"/>
          <w:tab w:val="center" w:pos="7938"/>
          <w:tab w:val="right" w:pos="9503"/>
        </w:tabs>
      </w:pPr>
      <w:r w:rsidRPr="00D47E1A">
        <w:lastRenderedPageBreak/>
        <w:t xml:space="preserve">Sume primite de la UE/alți donatori în contul plăților efectuate și prefinanțări aferente cadrului financiar 2014-2020 – 38.236.981 lei.                                                      </w:t>
      </w:r>
    </w:p>
    <w:p w:rsidR="00FC0FB6" w:rsidRPr="00D47E1A" w:rsidRDefault="00FC0FB6" w:rsidP="00FC0FB6">
      <w:pPr>
        <w:pStyle w:val="BodyTextIndent"/>
        <w:jc w:val="both"/>
        <w:rPr>
          <w:highlight w:val="yellow"/>
        </w:rPr>
      </w:pPr>
      <w:r w:rsidRPr="00D47E1A">
        <w:rPr>
          <w:color w:val="FF0000"/>
        </w:rPr>
        <w:t xml:space="preserve">     </w:t>
      </w:r>
      <w:r w:rsidRPr="00D47E1A">
        <w:tab/>
      </w:r>
      <w:r w:rsidRPr="00D47E1A">
        <w:tab/>
        <w:t xml:space="preserve">Faţă de prevederile anuale initiale aprobate, în sumă de 409.144.000 lei, se constată că încasările </w:t>
      </w:r>
      <w:r w:rsidRPr="00D47E1A">
        <w:rPr>
          <w:b/>
          <w:i/>
        </w:rPr>
        <w:t>bugetului local</w:t>
      </w:r>
      <w:r w:rsidRPr="00D47E1A">
        <w:t xml:space="preserve"> au fost de 369.824.769 lei, fiind încasate în proporție de 82,55%. </w:t>
      </w:r>
    </w:p>
    <w:p w:rsidR="00FC0FB6" w:rsidRPr="00D47E1A" w:rsidRDefault="00FC0FB6" w:rsidP="00FC0FB6">
      <w:pPr>
        <w:pStyle w:val="BodyTextIndent2"/>
        <w:spacing w:line="240" w:lineRule="auto"/>
        <w:jc w:val="both"/>
        <w:rPr>
          <w:noProof/>
        </w:rPr>
      </w:pPr>
      <w:r w:rsidRPr="00D47E1A">
        <w:tab/>
      </w:r>
      <w:r w:rsidRPr="00D47E1A">
        <w:tab/>
        <w:t xml:space="preserve">În perioada de raportare s-au efectuat plăţi nete de casă în sumă de 369.996.981 lei, faţă de veniturile realizate (369.824.769 lei), rezultând un </w:t>
      </w:r>
      <w:r w:rsidRPr="00D47E1A">
        <w:rPr>
          <w:b/>
          <w:i/>
        </w:rPr>
        <w:t xml:space="preserve">deficit bugetar al bugetului local de 172.212 lei. </w:t>
      </w:r>
      <w:r w:rsidRPr="00D47E1A">
        <w:tab/>
      </w:r>
      <w:r w:rsidRPr="00D47E1A">
        <w:tab/>
      </w:r>
      <w:r w:rsidRPr="00D47E1A">
        <w:rPr>
          <w:noProof/>
        </w:rPr>
        <w:tab/>
      </w:r>
    </w:p>
    <w:p w:rsidR="00FC0FB6" w:rsidRPr="00D47E1A" w:rsidRDefault="00FC0FB6" w:rsidP="00FC0FB6">
      <w:pPr>
        <w:pStyle w:val="BodyTextIndent2"/>
        <w:spacing w:line="240" w:lineRule="auto"/>
        <w:ind w:firstLine="720"/>
        <w:jc w:val="both"/>
      </w:pPr>
      <w:r w:rsidRPr="00D47E1A">
        <w:t xml:space="preserve">Contul de execuţie al bugetului local al Judeţului Argeş la data de 31 decembrie 2021 corespunde cu cel din Sistemul Național de Raportare Forexebug şi este prezentat în </w:t>
      </w:r>
      <w:r w:rsidRPr="00D47E1A">
        <w:rPr>
          <w:b/>
        </w:rPr>
        <w:t>anexa 1</w:t>
      </w:r>
      <w:r w:rsidRPr="00D47E1A">
        <w:t>.</w:t>
      </w:r>
    </w:p>
    <w:p w:rsidR="00FC0FB6" w:rsidRPr="00D47E1A" w:rsidRDefault="00FC0FB6" w:rsidP="00FC0FB6">
      <w:pPr>
        <w:tabs>
          <w:tab w:val="left" w:pos="720"/>
          <w:tab w:val="left" w:pos="1440"/>
          <w:tab w:val="center" w:pos="7938"/>
          <w:tab w:val="right" w:pos="9503"/>
        </w:tabs>
        <w:jc w:val="both"/>
      </w:pPr>
      <w:r w:rsidRPr="00D47E1A">
        <w:tab/>
        <w:t>Din analiza contului de execuţie al bugetului local la 31 decembrie 2021, rezultă următoarele:</w:t>
      </w:r>
    </w:p>
    <w:p w:rsidR="00FC0FB6" w:rsidRPr="00D47E1A" w:rsidRDefault="00FC0FB6" w:rsidP="00FC0FB6">
      <w:pPr>
        <w:pStyle w:val="BodyTextIndent"/>
        <w:numPr>
          <w:ilvl w:val="0"/>
          <w:numId w:val="1"/>
        </w:numPr>
        <w:spacing w:after="0"/>
        <w:ind w:left="0" w:firstLine="284"/>
        <w:jc w:val="both"/>
      </w:pPr>
      <w:r w:rsidRPr="00D47E1A">
        <w:t>cotele defalcate din impozitul pe venit (15%) au fost încasate în proporţie de 99,71%;</w:t>
      </w:r>
    </w:p>
    <w:p w:rsidR="00FC0FB6" w:rsidRPr="00D47E1A" w:rsidRDefault="00FC0FB6" w:rsidP="00FC0FB6">
      <w:pPr>
        <w:pStyle w:val="ListParagraph"/>
        <w:numPr>
          <w:ilvl w:val="0"/>
          <w:numId w:val="1"/>
        </w:numPr>
        <w:spacing w:after="200"/>
        <w:ind w:left="0" w:firstLine="284"/>
        <w:jc w:val="both"/>
      </w:pPr>
      <w:proofErr w:type="spellStart"/>
      <w:r w:rsidRPr="00D47E1A">
        <w:t>sumele</w:t>
      </w:r>
      <w:proofErr w:type="spellEnd"/>
      <w:r w:rsidRPr="00D47E1A">
        <w:t xml:space="preserve"> </w:t>
      </w:r>
      <w:proofErr w:type="spellStart"/>
      <w:r w:rsidRPr="00D47E1A">
        <w:t>alocate</w:t>
      </w:r>
      <w:proofErr w:type="spellEnd"/>
      <w:r w:rsidRPr="00D47E1A">
        <w:t xml:space="preserve"> din </w:t>
      </w:r>
      <w:proofErr w:type="spellStart"/>
      <w:r w:rsidRPr="00D47E1A">
        <w:t>cotele</w:t>
      </w:r>
      <w:proofErr w:type="spellEnd"/>
      <w:r w:rsidRPr="00D47E1A">
        <w:t xml:space="preserve"> defalcate din </w:t>
      </w:r>
      <w:proofErr w:type="spellStart"/>
      <w:r w:rsidRPr="00D47E1A">
        <w:t>impozitul</w:t>
      </w:r>
      <w:proofErr w:type="spellEnd"/>
      <w:r w:rsidRPr="00D47E1A">
        <w:t xml:space="preserve"> </w:t>
      </w:r>
      <w:proofErr w:type="spellStart"/>
      <w:r w:rsidRPr="00D47E1A">
        <w:t>pe</w:t>
      </w:r>
      <w:proofErr w:type="spellEnd"/>
      <w:r w:rsidRPr="00D47E1A">
        <w:t xml:space="preserve"> </w:t>
      </w:r>
      <w:proofErr w:type="spellStart"/>
      <w:r w:rsidRPr="00D47E1A">
        <w:t>venit</w:t>
      </w:r>
      <w:proofErr w:type="spellEnd"/>
      <w:r w:rsidRPr="00D47E1A">
        <w:t xml:space="preserve"> </w:t>
      </w:r>
      <w:proofErr w:type="spellStart"/>
      <w:r w:rsidRPr="00D47E1A">
        <w:t>pentru</w:t>
      </w:r>
      <w:proofErr w:type="spellEnd"/>
      <w:r w:rsidRPr="00D47E1A">
        <w:t xml:space="preserve"> </w:t>
      </w:r>
      <w:proofErr w:type="spellStart"/>
      <w:r w:rsidRPr="00D47E1A">
        <w:t>echilibrarea</w:t>
      </w:r>
      <w:proofErr w:type="spellEnd"/>
      <w:r w:rsidRPr="00D47E1A">
        <w:t xml:space="preserve"> </w:t>
      </w:r>
      <w:proofErr w:type="spellStart"/>
      <w:r w:rsidRPr="00D47E1A">
        <w:t>bugetelor</w:t>
      </w:r>
      <w:proofErr w:type="spellEnd"/>
      <w:r w:rsidRPr="00D47E1A">
        <w:t xml:space="preserve"> locale</w:t>
      </w:r>
      <w:r w:rsidRPr="00D47E1A">
        <w:rPr>
          <w:color w:val="FF0000"/>
        </w:rPr>
        <w:t xml:space="preserve"> </w:t>
      </w:r>
      <w:r w:rsidRPr="00D47E1A">
        <w:t>(14%)</w:t>
      </w:r>
      <w:r w:rsidRPr="00D47E1A">
        <w:rPr>
          <w:color w:val="FF0000"/>
        </w:rPr>
        <w:t xml:space="preserve">  </w:t>
      </w:r>
      <w:r w:rsidRPr="00D47E1A">
        <w:t xml:space="preserve">au </w:t>
      </w:r>
      <w:proofErr w:type="spellStart"/>
      <w:r w:rsidRPr="00D47E1A">
        <w:t>fost</w:t>
      </w:r>
      <w:proofErr w:type="spellEnd"/>
      <w:r w:rsidRPr="00D47E1A">
        <w:t xml:space="preserve"> </w:t>
      </w:r>
      <w:proofErr w:type="spellStart"/>
      <w:r w:rsidRPr="00D47E1A">
        <w:t>realizate</w:t>
      </w:r>
      <w:proofErr w:type="spellEnd"/>
      <w:r w:rsidRPr="00D47E1A">
        <w:t xml:space="preserve"> </w:t>
      </w:r>
      <w:proofErr w:type="spellStart"/>
      <w:r w:rsidRPr="00D47E1A">
        <w:t>în</w:t>
      </w:r>
      <w:proofErr w:type="spellEnd"/>
      <w:r w:rsidRPr="00D47E1A">
        <w:t xml:space="preserve"> </w:t>
      </w:r>
      <w:proofErr w:type="spellStart"/>
      <w:r w:rsidRPr="00D47E1A">
        <w:t>procent</w:t>
      </w:r>
      <w:proofErr w:type="spellEnd"/>
      <w:r w:rsidRPr="00D47E1A">
        <w:t xml:space="preserve"> de 99,70% (</w:t>
      </w:r>
      <w:proofErr w:type="spellStart"/>
      <w:r w:rsidRPr="00D47E1A">
        <w:t>menționăm</w:t>
      </w:r>
      <w:proofErr w:type="spellEnd"/>
      <w:r w:rsidRPr="00D47E1A">
        <w:t xml:space="preserve"> </w:t>
      </w:r>
      <w:proofErr w:type="spellStart"/>
      <w:r w:rsidRPr="00D47E1A">
        <w:t>că</w:t>
      </w:r>
      <w:proofErr w:type="spellEnd"/>
      <w:r w:rsidRPr="00D47E1A">
        <w:t xml:space="preserve"> </w:t>
      </w:r>
      <w:proofErr w:type="spellStart"/>
      <w:r w:rsidRPr="00D47E1A">
        <w:t>sumele</w:t>
      </w:r>
      <w:proofErr w:type="spellEnd"/>
      <w:r w:rsidRPr="00D47E1A">
        <w:t xml:space="preserve"> au </w:t>
      </w:r>
      <w:proofErr w:type="spellStart"/>
      <w:r w:rsidRPr="00D47E1A">
        <w:t>fost</w:t>
      </w:r>
      <w:proofErr w:type="spellEnd"/>
      <w:r w:rsidRPr="00D47E1A">
        <w:t xml:space="preserve"> </w:t>
      </w:r>
      <w:proofErr w:type="spellStart"/>
      <w:r w:rsidRPr="00D47E1A">
        <w:t>alocate</w:t>
      </w:r>
      <w:proofErr w:type="spellEnd"/>
      <w:r w:rsidRPr="00D47E1A">
        <w:t xml:space="preserve"> de </w:t>
      </w:r>
      <w:proofErr w:type="spellStart"/>
      <w:r w:rsidRPr="00D47E1A">
        <w:t>către</w:t>
      </w:r>
      <w:proofErr w:type="spellEnd"/>
      <w:r w:rsidRPr="00D47E1A">
        <w:t xml:space="preserve"> </w:t>
      </w:r>
      <w:proofErr w:type="spellStart"/>
      <w:r w:rsidRPr="00D47E1A">
        <w:t>Ministerul</w:t>
      </w:r>
      <w:proofErr w:type="spellEnd"/>
      <w:r w:rsidRPr="00D47E1A">
        <w:t xml:space="preserve"> </w:t>
      </w:r>
      <w:proofErr w:type="spellStart"/>
      <w:r w:rsidRPr="00D47E1A">
        <w:t>Finanțelor</w:t>
      </w:r>
      <w:proofErr w:type="spellEnd"/>
      <w:r w:rsidRPr="00D47E1A">
        <w:t xml:space="preserve"> </w:t>
      </w:r>
      <w:proofErr w:type="spellStart"/>
      <w:r w:rsidRPr="00D47E1A">
        <w:t>începând</w:t>
      </w:r>
      <w:proofErr w:type="spellEnd"/>
      <w:r w:rsidRPr="00D47E1A">
        <w:t xml:space="preserve"> cu </w:t>
      </w:r>
      <w:proofErr w:type="spellStart"/>
      <w:r w:rsidRPr="00D47E1A">
        <w:t>luna</w:t>
      </w:r>
      <w:proofErr w:type="spellEnd"/>
      <w:r w:rsidRPr="00D47E1A">
        <w:t xml:space="preserve"> </w:t>
      </w:r>
      <w:proofErr w:type="spellStart"/>
      <w:r w:rsidRPr="00D47E1A">
        <w:t>aprilie</w:t>
      </w:r>
      <w:proofErr w:type="spellEnd"/>
      <w:r w:rsidRPr="00D47E1A">
        <w:t xml:space="preserve"> 2021) ;</w:t>
      </w:r>
    </w:p>
    <w:p w:rsidR="00FC0FB6" w:rsidRPr="00D47E1A" w:rsidRDefault="00FC0FB6" w:rsidP="00FC0FB6">
      <w:pPr>
        <w:pStyle w:val="ListParagraph"/>
        <w:numPr>
          <w:ilvl w:val="0"/>
          <w:numId w:val="1"/>
        </w:numPr>
        <w:spacing w:after="200"/>
        <w:ind w:left="0" w:firstLine="284"/>
        <w:jc w:val="both"/>
      </w:pPr>
      <w:proofErr w:type="spellStart"/>
      <w:r w:rsidRPr="00D47E1A">
        <w:t>sumele</w:t>
      </w:r>
      <w:proofErr w:type="spellEnd"/>
      <w:r w:rsidRPr="00D47E1A">
        <w:t xml:space="preserve"> defalcate din T.V.A. </w:t>
      </w:r>
      <w:proofErr w:type="spellStart"/>
      <w:r w:rsidRPr="00D47E1A">
        <w:t>pentru</w:t>
      </w:r>
      <w:proofErr w:type="spellEnd"/>
      <w:r w:rsidRPr="00D47E1A">
        <w:t xml:space="preserve"> </w:t>
      </w:r>
      <w:proofErr w:type="spellStart"/>
      <w:r w:rsidRPr="00D47E1A">
        <w:t>finanţarea</w:t>
      </w:r>
      <w:proofErr w:type="spellEnd"/>
      <w:r w:rsidRPr="00D47E1A">
        <w:t xml:space="preserve"> </w:t>
      </w:r>
      <w:proofErr w:type="spellStart"/>
      <w:r w:rsidRPr="00D47E1A">
        <w:t>cheltuielilor</w:t>
      </w:r>
      <w:proofErr w:type="spellEnd"/>
      <w:r w:rsidRPr="00D47E1A">
        <w:t xml:space="preserve"> </w:t>
      </w:r>
      <w:proofErr w:type="spellStart"/>
      <w:r w:rsidRPr="00D47E1A">
        <w:t>descentralizate</w:t>
      </w:r>
      <w:proofErr w:type="spellEnd"/>
      <w:r w:rsidRPr="00D47E1A">
        <w:t xml:space="preserve"> la </w:t>
      </w:r>
      <w:proofErr w:type="spellStart"/>
      <w:r w:rsidRPr="00D47E1A">
        <w:t>nivelul</w:t>
      </w:r>
      <w:proofErr w:type="spellEnd"/>
      <w:r w:rsidRPr="00D47E1A">
        <w:t xml:space="preserve"> </w:t>
      </w:r>
      <w:proofErr w:type="spellStart"/>
      <w:r w:rsidRPr="00D47E1A">
        <w:t>judeţului</w:t>
      </w:r>
      <w:proofErr w:type="spellEnd"/>
      <w:r w:rsidRPr="00D47E1A">
        <w:t xml:space="preserve"> </w:t>
      </w:r>
      <w:proofErr w:type="spellStart"/>
      <w:r w:rsidRPr="00D47E1A">
        <w:t>Argeş</w:t>
      </w:r>
      <w:proofErr w:type="spellEnd"/>
      <w:r w:rsidRPr="00D47E1A">
        <w:t xml:space="preserve"> au </w:t>
      </w:r>
      <w:proofErr w:type="spellStart"/>
      <w:r w:rsidRPr="00D47E1A">
        <w:t>fost</w:t>
      </w:r>
      <w:proofErr w:type="spellEnd"/>
      <w:r w:rsidRPr="00D47E1A">
        <w:t xml:space="preserve"> </w:t>
      </w:r>
      <w:proofErr w:type="spellStart"/>
      <w:r w:rsidRPr="00D47E1A">
        <w:t>încasate</w:t>
      </w:r>
      <w:proofErr w:type="spellEnd"/>
      <w:r w:rsidRPr="00D47E1A">
        <w:t xml:space="preserve"> </w:t>
      </w:r>
      <w:proofErr w:type="spellStart"/>
      <w:r w:rsidRPr="00D47E1A">
        <w:t>în</w:t>
      </w:r>
      <w:proofErr w:type="spellEnd"/>
      <w:r w:rsidRPr="00D47E1A">
        <w:t xml:space="preserve"> </w:t>
      </w:r>
      <w:proofErr w:type="spellStart"/>
      <w:r w:rsidRPr="00D47E1A">
        <w:t>proporţie</w:t>
      </w:r>
      <w:proofErr w:type="spellEnd"/>
      <w:r w:rsidRPr="00D47E1A">
        <w:t xml:space="preserve"> de 91,95%;</w:t>
      </w:r>
    </w:p>
    <w:p w:rsidR="00FC0FB6" w:rsidRPr="00D47E1A" w:rsidRDefault="00FC0FB6" w:rsidP="00FC0FB6">
      <w:pPr>
        <w:pStyle w:val="ListParagraph"/>
        <w:numPr>
          <w:ilvl w:val="0"/>
          <w:numId w:val="1"/>
        </w:numPr>
        <w:spacing w:after="200"/>
        <w:ind w:left="0" w:firstLine="284"/>
        <w:jc w:val="both"/>
      </w:pPr>
      <w:proofErr w:type="spellStart"/>
      <w:r w:rsidRPr="00D47E1A">
        <w:t>subvenţiile</w:t>
      </w:r>
      <w:proofErr w:type="spellEnd"/>
      <w:r w:rsidRPr="00D47E1A">
        <w:t xml:space="preserve"> de la </w:t>
      </w:r>
      <w:proofErr w:type="spellStart"/>
      <w:r w:rsidRPr="00D47E1A">
        <w:t>bugetul</w:t>
      </w:r>
      <w:proofErr w:type="spellEnd"/>
      <w:r w:rsidRPr="00D47E1A">
        <w:t xml:space="preserve"> de stat </w:t>
      </w:r>
      <w:proofErr w:type="spellStart"/>
      <w:r w:rsidRPr="00D47E1A">
        <w:t>pentru</w:t>
      </w:r>
      <w:proofErr w:type="spellEnd"/>
      <w:r w:rsidRPr="00D47E1A">
        <w:t xml:space="preserve"> </w:t>
      </w:r>
      <w:proofErr w:type="spellStart"/>
      <w:r w:rsidRPr="00D47E1A">
        <w:t>finanţarea</w:t>
      </w:r>
      <w:proofErr w:type="spellEnd"/>
      <w:r w:rsidRPr="00D47E1A">
        <w:t xml:space="preserve"> </w:t>
      </w:r>
      <w:proofErr w:type="spellStart"/>
      <w:r w:rsidRPr="00D47E1A">
        <w:t>drepturilor</w:t>
      </w:r>
      <w:proofErr w:type="spellEnd"/>
      <w:r w:rsidRPr="00D47E1A">
        <w:t xml:space="preserve"> </w:t>
      </w:r>
      <w:proofErr w:type="spellStart"/>
      <w:r w:rsidRPr="00D47E1A">
        <w:t>acordate</w:t>
      </w:r>
      <w:proofErr w:type="spellEnd"/>
      <w:r w:rsidRPr="00D47E1A">
        <w:t xml:space="preserve"> </w:t>
      </w:r>
      <w:proofErr w:type="spellStart"/>
      <w:r w:rsidRPr="00D47E1A">
        <w:t>persoanelor</w:t>
      </w:r>
      <w:proofErr w:type="spellEnd"/>
      <w:r w:rsidRPr="00D47E1A">
        <w:t xml:space="preserve"> cu handicap au </w:t>
      </w:r>
      <w:proofErr w:type="spellStart"/>
      <w:r w:rsidRPr="00D47E1A">
        <w:t>fost</w:t>
      </w:r>
      <w:proofErr w:type="spellEnd"/>
      <w:r w:rsidRPr="00D47E1A">
        <w:t xml:space="preserve"> </w:t>
      </w:r>
      <w:proofErr w:type="spellStart"/>
      <w:r w:rsidRPr="00D47E1A">
        <w:t>încasate</w:t>
      </w:r>
      <w:proofErr w:type="spellEnd"/>
      <w:r w:rsidRPr="00D47E1A">
        <w:t xml:space="preserve"> </w:t>
      </w:r>
      <w:proofErr w:type="spellStart"/>
      <w:r w:rsidRPr="00D47E1A">
        <w:t>în</w:t>
      </w:r>
      <w:proofErr w:type="spellEnd"/>
      <w:r w:rsidRPr="00D47E1A">
        <w:t xml:space="preserve"> </w:t>
      </w:r>
      <w:proofErr w:type="spellStart"/>
      <w:r w:rsidRPr="00D47E1A">
        <w:t>proporţie</w:t>
      </w:r>
      <w:proofErr w:type="spellEnd"/>
      <w:r w:rsidRPr="00D47E1A">
        <w:t xml:space="preserve"> de 63,21%;</w:t>
      </w:r>
    </w:p>
    <w:p w:rsidR="00FC0FB6" w:rsidRPr="00D47E1A" w:rsidRDefault="00FC0FB6" w:rsidP="00FC0FB6">
      <w:pPr>
        <w:pStyle w:val="ListParagraph"/>
        <w:numPr>
          <w:ilvl w:val="0"/>
          <w:numId w:val="1"/>
        </w:numPr>
        <w:spacing w:after="200"/>
        <w:ind w:left="0" w:firstLine="284"/>
        <w:jc w:val="both"/>
      </w:pPr>
      <w:proofErr w:type="spellStart"/>
      <w:r w:rsidRPr="00D47E1A">
        <w:t>taxa</w:t>
      </w:r>
      <w:proofErr w:type="spellEnd"/>
      <w:r w:rsidRPr="00D47E1A">
        <w:t xml:space="preserve"> </w:t>
      </w:r>
      <w:proofErr w:type="spellStart"/>
      <w:r w:rsidRPr="00D47E1A">
        <w:t>asupra</w:t>
      </w:r>
      <w:proofErr w:type="spellEnd"/>
      <w:r w:rsidRPr="00D47E1A">
        <w:t xml:space="preserve"> </w:t>
      </w:r>
      <w:proofErr w:type="spellStart"/>
      <w:r w:rsidRPr="00D47E1A">
        <w:t>mijloacelor</w:t>
      </w:r>
      <w:proofErr w:type="spellEnd"/>
      <w:r w:rsidRPr="00D47E1A">
        <w:t xml:space="preserve"> de transport - </w:t>
      </w:r>
      <w:proofErr w:type="spellStart"/>
      <w:r w:rsidRPr="00D47E1A">
        <w:t>procentul</w:t>
      </w:r>
      <w:proofErr w:type="spellEnd"/>
      <w:r w:rsidRPr="00D47E1A">
        <w:t xml:space="preserve"> de </w:t>
      </w:r>
      <w:proofErr w:type="spellStart"/>
      <w:r w:rsidRPr="00D47E1A">
        <w:t>realizare</w:t>
      </w:r>
      <w:proofErr w:type="spellEnd"/>
      <w:r w:rsidRPr="00D47E1A">
        <w:t xml:space="preserve"> de 111,53%;</w:t>
      </w:r>
    </w:p>
    <w:p w:rsidR="00FC0FB6" w:rsidRPr="00D47E1A" w:rsidRDefault="00FC0FB6" w:rsidP="00FC0FB6">
      <w:pPr>
        <w:pStyle w:val="ListParagraph"/>
        <w:numPr>
          <w:ilvl w:val="0"/>
          <w:numId w:val="1"/>
        </w:numPr>
        <w:spacing w:after="200"/>
        <w:ind w:left="0" w:firstLine="284"/>
        <w:jc w:val="both"/>
      </w:pPr>
      <w:proofErr w:type="spellStart"/>
      <w:r w:rsidRPr="00D47E1A">
        <w:t>taxe</w:t>
      </w:r>
      <w:proofErr w:type="spellEnd"/>
      <w:r w:rsidRPr="00D47E1A">
        <w:t xml:space="preserve"> </w:t>
      </w:r>
      <w:proofErr w:type="spellStart"/>
      <w:r w:rsidRPr="00D47E1A">
        <w:t>și</w:t>
      </w:r>
      <w:proofErr w:type="spellEnd"/>
      <w:r w:rsidRPr="00D47E1A">
        <w:t xml:space="preserve"> </w:t>
      </w:r>
      <w:proofErr w:type="spellStart"/>
      <w:r w:rsidRPr="00D47E1A">
        <w:t>tarife</w:t>
      </w:r>
      <w:proofErr w:type="spellEnd"/>
      <w:r w:rsidRPr="00D47E1A">
        <w:t xml:space="preserve"> </w:t>
      </w:r>
      <w:proofErr w:type="spellStart"/>
      <w:r w:rsidRPr="00D47E1A">
        <w:t>pentru</w:t>
      </w:r>
      <w:proofErr w:type="spellEnd"/>
      <w:r w:rsidRPr="00D47E1A">
        <w:t xml:space="preserve"> </w:t>
      </w:r>
      <w:proofErr w:type="spellStart"/>
      <w:r w:rsidRPr="00D47E1A">
        <w:t>eliberarea</w:t>
      </w:r>
      <w:proofErr w:type="spellEnd"/>
      <w:r w:rsidRPr="00D47E1A">
        <w:t xml:space="preserve"> de </w:t>
      </w:r>
      <w:proofErr w:type="spellStart"/>
      <w:r w:rsidRPr="00D47E1A">
        <w:t>licențe</w:t>
      </w:r>
      <w:proofErr w:type="spellEnd"/>
      <w:r w:rsidRPr="00D47E1A">
        <w:t xml:space="preserve"> </w:t>
      </w:r>
      <w:proofErr w:type="spellStart"/>
      <w:r w:rsidRPr="00D47E1A">
        <w:t>și</w:t>
      </w:r>
      <w:proofErr w:type="spellEnd"/>
      <w:r w:rsidRPr="00D47E1A">
        <w:t xml:space="preserve"> </w:t>
      </w:r>
      <w:proofErr w:type="spellStart"/>
      <w:r w:rsidRPr="00D47E1A">
        <w:t>autorizații</w:t>
      </w:r>
      <w:proofErr w:type="spellEnd"/>
      <w:r w:rsidRPr="00D47E1A">
        <w:t xml:space="preserve"> de </w:t>
      </w:r>
      <w:proofErr w:type="spellStart"/>
      <w:r w:rsidRPr="00D47E1A">
        <w:t>funcționare</w:t>
      </w:r>
      <w:proofErr w:type="spellEnd"/>
      <w:r w:rsidRPr="00D47E1A">
        <w:t xml:space="preserve"> - </w:t>
      </w:r>
      <w:proofErr w:type="spellStart"/>
      <w:r w:rsidRPr="00D47E1A">
        <w:t>procent</w:t>
      </w:r>
      <w:proofErr w:type="spellEnd"/>
      <w:r w:rsidRPr="00D47E1A">
        <w:t xml:space="preserve"> de </w:t>
      </w:r>
      <w:proofErr w:type="spellStart"/>
      <w:r w:rsidRPr="00D47E1A">
        <w:t>realizare</w:t>
      </w:r>
      <w:proofErr w:type="spellEnd"/>
      <w:r w:rsidRPr="00D47E1A">
        <w:t xml:space="preserve"> de 16,94%;</w:t>
      </w:r>
    </w:p>
    <w:p w:rsidR="00FC0FB6" w:rsidRPr="00D47E1A" w:rsidRDefault="00FC0FB6" w:rsidP="00FC0FB6">
      <w:pPr>
        <w:pStyle w:val="ListParagraph"/>
        <w:numPr>
          <w:ilvl w:val="0"/>
          <w:numId w:val="1"/>
        </w:numPr>
        <w:spacing w:after="200"/>
        <w:ind w:left="0" w:firstLine="284"/>
        <w:jc w:val="both"/>
      </w:pPr>
      <w:proofErr w:type="spellStart"/>
      <w:proofErr w:type="gramStart"/>
      <w:r w:rsidRPr="00D47E1A">
        <w:t>alte</w:t>
      </w:r>
      <w:proofErr w:type="spellEnd"/>
      <w:proofErr w:type="gramEnd"/>
      <w:r w:rsidRPr="00D47E1A">
        <w:t xml:space="preserve"> </w:t>
      </w:r>
      <w:proofErr w:type="spellStart"/>
      <w:r w:rsidRPr="00D47E1A">
        <w:t>venituri</w:t>
      </w:r>
      <w:proofErr w:type="spellEnd"/>
      <w:r w:rsidRPr="00D47E1A">
        <w:t xml:space="preserve"> din </w:t>
      </w:r>
      <w:proofErr w:type="spellStart"/>
      <w:r w:rsidRPr="00D47E1A">
        <w:t>concesiuni</w:t>
      </w:r>
      <w:proofErr w:type="spellEnd"/>
      <w:r w:rsidRPr="00D47E1A">
        <w:t xml:space="preserve"> </w:t>
      </w:r>
      <w:proofErr w:type="spellStart"/>
      <w:r w:rsidRPr="00D47E1A">
        <w:t>și</w:t>
      </w:r>
      <w:proofErr w:type="spellEnd"/>
      <w:r w:rsidRPr="00D47E1A">
        <w:t xml:space="preserve"> </w:t>
      </w:r>
      <w:proofErr w:type="spellStart"/>
      <w:r w:rsidRPr="00D47E1A">
        <w:t>închirieri</w:t>
      </w:r>
      <w:proofErr w:type="spellEnd"/>
      <w:r w:rsidRPr="00D47E1A">
        <w:t xml:space="preserve"> de </w:t>
      </w:r>
      <w:proofErr w:type="spellStart"/>
      <w:r w:rsidRPr="00D47E1A">
        <w:t>către</w:t>
      </w:r>
      <w:proofErr w:type="spellEnd"/>
      <w:r w:rsidRPr="00D47E1A">
        <w:t xml:space="preserve"> </w:t>
      </w:r>
      <w:proofErr w:type="spellStart"/>
      <w:r w:rsidRPr="00D47E1A">
        <w:t>instituțiile</w:t>
      </w:r>
      <w:proofErr w:type="spellEnd"/>
      <w:r w:rsidRPr="00D47E1A">
        <w:t xml:space="preserve"> </w:t>
      </w:r>
      <w:proofErr w:type="spellStart"/>
      <w:r w:rsidRPr="00D47E1A">
        <w:t>publice</w:t>
      </w:r>
      <w:proofErr w:type="spellEnd"/>
      <w:r w:rsidRPr="00D47E1A">
        <w:t xml:space="preserve"> - </w:t>
      </w:r>
      <w:proofErr w:type="spellStart"/>
      <w:r w:rsidRPr="00D47E1A">
        <w:t>procentul</w:t>
      </w:r>
      <w:proofErr w:type="spellEnd"/>
      <w:r w:rsidRPr="00D47E1A">
        <w:t xml:space="preserve"> de </w:t>
      </w:r>
      <w:proofErr w:type="spellStart"/>
      <w:r w:rsidRPr="00D47E1A">
        <w:t>realizare</w:t>
      </w:r>
      <w:proofErr w:type="spellEnd"/>
      <w:r w:rsidRPr="00D47E1A">
        <w:t xml:space="preserve"> de 194,99%.</w:t>
      </w:r>
    </w:p>
    <w:p w:rsidR="00FC0FB6" w:rsidRPr="00D47E1A" w:rsidRDefault="00FC0FB6" w:rsidP="00FC0FB6">
      <w:pPr>
        <w:pStyle w:val="Heading1"/>
        <w:shd w:val="clear" w:color="auto" w:fill="FFFFFF"/>
        <w:spacing w:after="75"/>
        <w:jc w:val="both"/>
        <w:rPr>
          <w:rFonts w:ascii="Times New Roman" w:hAnsi="Times New Roman"/>
          <w:b w:val="0"/>
          <w:noProof/>
          <w:sz w:val="24"/>
          <w:szCs w:val="24"/>
          <w:lang w:val="ro-RO"/>
        </w:rPr>
      </w:pPr>
      <w:r w:rsidRPr="00D47E1A">
        <w:rPr>
          <w:rFonts w:ascii="Times New Roman" w:hAnsi="Times New Roman"/>
          <w:sz w:val="24"/>
          <w:szCs w:val="24"/>
          <w:lang w:val="ro-RO"/>
        </w:rPr>
        <w:tab/>
      </w:r>
      <w:r w:rsidRPr="00D47E1A">
        <w:rPr>
          <w:rFonts w:ascii="Times New Roman" w:hAnsi="Times New Roman"/>
          <w:b w:val="0"/>
          <w:noProof/>
          <w:sz w:val="24"/>
          <w:szCs w:val="24"/>
          <w:lang w:val="ro-RO"/>
        </w:rPr>
        <w:t xml:space="preserve">Veniturile secţiunii de funcţionare ale bugetului local s-au încasat în proporţie de 103,84% faţă de </w:t>
      </w:r>
      <w:r w:rsidRPr="00D47E1A">
        <w:rPr>
          <w:rFonts w:ascii="Times New Roman" w:hAnsi="Times New Roman"/>
          <w:b w:val="0"/>
          <w:sz w:val="24"/>
          <w:szCs w:val="24"/>
          <w:lang w:val="ro-RO"/>
        </w:rPr>
        <w:t>prevederile anuale aprobate</w:t>
      </w:r>
      <w:r w:rsidRPr="00D47E1A">
        <w:rPr>
          <w:rFonts w:ascii="Times New Roman" w:hAnsi="Times New Roman"/>
          <w:b w:val="0"/>
          <w:noProof/>
          <w:sz w:val="24"/>
          <w:szCs w:val="24"/>
          <w:lang w:val="ro-RO"/>
        </w:rPr>
        <w:t xml:space="preserve">, iar plăţile acestei secţiuni au fost în proporţie de 89,94%, rezultând un excedent bugetar al secțiunii de funcționare de 30.127.001 lei. </w:t>
      </w:r>
    </w:p>
    <w:p w:rsidR="00FC0FB6" w:rsidRPr="00D47E1A" w:rsidRDefault="00FC0FB6" w:rsidP="00FC0FB6">
      <w:pPr>
        <w:ind w:firstLine="720"/>
        <w:jc w:val="both"/>
        <w:rPr>
          <w:noProof/>
        </w:rPr>
      </w:pPr>
      <w:r w:rsidRPr="00D47E1A">
        <w:rPr>
          <w:noProof/>
        </w:rPr>
        <w:t xml:space="preserve">Veniturile secţiunii de dezvoltare ale bugetului local s-au încasat în proporţie de 41,75% faţă </w:t>
      </w:r>
      <w:r w:rsidRPr="00D47E1A">
        <w:t>prevederile anuale aprobate</w:t>
      </w:r>
      <w:r w:rsidRPr="00D47E1A">
        <w:rPr>
          <w:noProof/>
        </w:rPr>
        <w:t xml:space="preserve">, iar plăţile acestei secţiuni au fost în proporţie de 49,09%, rezultând un deficit bugetar al secțiunii de dezvoltare de30.299.213 lei. </w:t>
      </w:r>
    </w:p>
    <w:p w:rsidR="00FC0FB6" w:rsidRPr="00D47E1A" w:rsidRDefault="00FC0FB6" w:rsidP="00FC0FB6">
      <w:pPr>
        <w:tabs>
          <w:tab w:val="left" w:pos="720"/>
          <w:tab w:val="left" w:pos="1440"/>
          <w:tab w:val="center" w:pos="7938"/>
          <w:tab w:val="right" w:pos="9503"/>
        </w:tabs>
        <w:jc w:val="both"/>
        <w:rPr>
          <w:color w:val="FF0000"/>
        </w:rPr>
      </w:pPr>
      <w:r w:rsidRPr="00D47E1A">
        <w:rPr>
          <w:color w:val="FF0000"/>
        </w:rPr>
        <w:tab/>
      </w:r>
    </w:p>
    <w:p w:rsidR="00FC0FB6" w:rsidRPr="00D47E1A" w:rsidRDefault="00FC0FB6" w:rsidP="00FC0FB6">
      <w:pPr>
        <w:tabs>
          <w:tab w:val="left" w:pos="720"/>
          <w:tab w:val="left" w:pos="1440"/>
          <w:tab w:val="center" w:pos="7938"/>
          <w:tab w:val="right" w:pos="9503"/>
        </w:tabs>
        <w:jc w:val="both"/>
        <w:rPr>
          <w:noProof/>
        </w:rPr>
      </w:pPr>
      <w:r w:rsidRPr="00D47E1A">
        <w:tab/>
        <w:t xml:space="preserve">Faţă de prevederile anuale aprobate, în sumă de 706.087.910 lei, se constată că încasările </w:t>
      </w:r>
      <w:r w:rsidRPr="00D47E1A">
        <w:rPr>
          <w:b/>
          <w:i/>
        </w:rPr>
        <w:t xml:space="preserve">bugetului </w:t>
      </w:r>
      <w:r w:rsidRPr="00D47E1A">
        <w:rPr>
          <w:b/>
          <w:i/>
          <w:noProof/>
        </w:rPr>
        <w:t>instituţiilor publice şi activităţilor finanţate integral sau parţial din venituri proprii</w:t>
      </w:r>
      <w:r w:rsidRPr="00D47E1A">
        <w:rPr>
          <w:b/>
        </w:rPr>
        <w:t xml:space="preserve"> </w:t>
      </w:r>
      <w:r w:rsidRPr="00D47E1A">
        <w:t xml:space="preserve">au fost de 556.065.865 lei, fiind încasate în proporție de 78,75 %, situaţie prezentată în </w:t>
      </w:r>
      <w:r w:rsidRPr="00D47E1A">
        <w:rPr>
          <w:b/>
        </w:rPr>
        <w:t>anexa 2</w:t>
      </w:r>
      <w:r w:rsidRPr="00D47E1A">
        <w:t>.</w:t>
      </w:r>
    </w:p>
    <w:p w:rsidR="00FC0FB6" w:rsidRPr="00D47E1A" w:rsidRDefault="00FC0FB6" w:rsidP="00FC0FB6">
      <w:pPr>
        <w:ind w:firstLine="720"/>
        <w:jc w:val="both"/>
        <w:rPr>
          <w:b/>
          <w:i/>
          <w:noProof/>
        </w:rPr>
      </w:pPr>
      <w:r w:rsidRPr="00D47E1A">
        <w:t xml:space="preserve">În perioada de raportare s-au efectuat plăţi nete de casă în sumă de 560.657.857 lei, 77,19%, faţă de veniturile realizate (556.065.865 lei), rezultând </w:t>
      </w:r>
      <w:r w:rsidRPr="00D47E1A">
        <w:rPr>
          <w:b/>
          <w:i/>
        </w:rPr>
        <w:t xml:space="preserve">un deficit bugetar al bugetului </w:t>
      </w:r>
      <w:r w:rsidRPr="00D47E1A">
        <w:rPr>
          <w:b/>
          <w:i/>
          <w:noProof/>
        </w:rPr>
        <w:t>instituţiilor publice şi activităţilor finanţate integral sau parţial din venituri proprii</w:t>
      </w:r>
      <w:r w:rsidRPr="00D47E1A">
        <w:rPr>
          <w:b/>
          <w:i/>
        </w:rPr>
        <w:t xml:space="preserve"> de 4.591.992 lei</w:t>
      </w:r>
      <w:r w:rsidRPr="00D47E1A">
        <w:rPr>
          <w:b/>
          <w:i/>
          <w:noProof/>
        </w:rPr>
        <w:t>.</w:t>
      </w:r>
    </w:p>
    <w:p w:rsidR="00FC0FB6" w:rsidRPr="00D47E1A" w:rsidRDefault="00FC0FB6" w:rsidP="00FC0FB6">
      <w:pPr>
        <w:tabs>
          <w:tab w:val="left" w:pos="720"/>
          <w:tab w:val="left" w:pos="1440"/>
          <w:tab w:val="center" w:pos="7938"/>
          <w:tab w:val="right" w:pos="9503"/>
        </w:tabs>
        <w:jc w:val="both"/>
      </w:pPr>
      <w:r w:rsidRPr="00D47E1A">
        <w:tab/>
        <w:t xml:space="preserve">Din analiza contului de execuţie al bugetului </w:t>
      </w:r>
      <w:r w:rsidRPr="00D47E1A">
        <w:rPr>
          <w:noProof/>
        </w:rPr>
        <w:t>instituţiilor publice şi activităţilor finanţate integral sau parţial din venituri proprii</w:t>
      </w:r>
      <w:r w:rsidRPr="00D47E1A">
        <w:t xml:space="preserve"> la 31 decembrie 2021, rezultă următoarele:</w:t>
      </w:r>
    </w:p>
    <w:p w:rsidR="00FC0FB6" w:rsidRPr="00D47E1A" w:rsidRDefault="00FC0FB6" w:rsidP="00FC0FB6">
      <w:pPr>
        <w:tabs>
          <w:tab w:val="left" w:pos="720"/>
          <w:tab w:val="left" w:pos="1440"/>
          <w:tab w:val="center" w:pos="7938"/>
          <w:tab w:val="right" w:pos="9503"/>
        </w:tabs>
        <w:jc w:val="both"/>
      </w:pPr>
      <w:r w:rsidRPr="00D47E1A">
        <w:tab/>
        <w:t>- veniturile din prestări servicii au fost încasate în proporție de 100,89%;</w:t>
      </w:r>
    </w:p>
    <w:p w:rsidR="00FC0FB6" w:rsidRPr="00D47E1A" w:rsidRDefault="00FC0FB6" w:rsidP="00FC0FB6">
      <w:pPr>
        <w:tabs>
          <w:tab w:val="left" w:pos="720"/>
          <w:tab w:val="left" w:pos="1440"/>
          <w:tab w:val="center" w:pos="7938"/>
          <w:tab w:val="right" w:pos="9503"/>
        </w:tabs>
        <w:jc w:val="both"/>
      </w:pPr>
      <w:r w:rsidRPr="00D47E1A">
        <w:tab/>
        <w:t>- veniturile din contractele încheiate cu casele de asigurări sociale din sănătate au fost încasate în proporţie de 89,00%;</w:t>
      </w:r>
    </w:p>
    <w:p w:rsidR="00FC0FB6" w:rsidRPr="00D47E1A" w:rsidRDefault="00FC0FB6" w:rsidP="00FC0FB6">
      <w:pPr>
        <w:tabs>
          <w:tab w:val="left" w:pos="720"/>
          <w:tab w:val="left" w:pos="1440"/>
          <w:tab w:val="center" w:pos="7938"/>
          <w:tab w:val="right" w:pos="9503"/>
        </w:tabs>
        <w:jc w:val="both"/>
        <w:rPr>
          <w:noProof/>
        </w:rPr>
      </w:pPr>
      <w:r w:rsidRPr="00D47E1A">
        <w:lastRenderedPageBreak/>
        <w:tab/>
      </w:r>
      <w:r w:rsidRPr="00D47E1A">
        <w:rPr>
          <w:noProof/>
        </w:rPr>
        <w:t xml:space="preserve">Veniturile secţiunii de funcţionare ale bugetului instituţiilor publice şi activităţilor finanţate integral sau parţial din venituri proprii s-au încasat în proporţie de 93,41 % faţă de prevederile </w:t>
      </w:r>
      <w:r w:rsidRPr="00D47E1A">
        <w:t>anuale</w:t>
      </w:r>
      <w:r w:rsidRPr="00D47E1A">
        <w:rPr>
          <w:noProof/>
        </w:rPr>
        <w:t xml:space="preserve"> aprobate, iar plăţile acestei secţiuni au fost realizate în proporţie de 91,76%, rezultând un excedent bugetar al secțiunii de funcționare</w:t>
      </w:r>
      <w:r w:rsidRPr="00D47E1A">
        <w:rPr>
          <w:b/>
          <w:noProof/>
        </w:rPr>
        <w:t xml:space="preserve"> </w:t>
      </w:r>
      <w:r w:rsidRPr="00D47E1A">
        <w:rPr>
          <w:noProof/>
        </w:rPr>
        <w:t>de 219.192 lei.</w:t>
      </w:r>
    </w:p>
    <w:p w:rsidR="00FC0FB6" w:rsidRPr="00D47E1A" w:rsidRDefault="00FC0FB6" w:rsidP="00FC0FB6">
      <w:pPr>
        <w:ind w:firstLine="720"/>
        <w:jc w:val="both"/>
        <w:rPr>
          <w:noProof/>
        </w:rPr>
      </w:pPr>
      <w:r w:rsidRPr="00D47E1A">
        <w:rPr>
          <w:noProof/>
        </w:rPr>
        <w:t xml:space="preserve">Veniturile secţiunii de dezvoltare ale bugetului instituţiilor publice şi activităţilor finanţate integral sau parţial din venituri proprii s-au încasat în proporţie de 19,90 % faţă de prevederile </w:t>
      </w:r>
      <w:r w:rsidRPr="00D47E1A">
        <w:t>anuale</w:t>
      </w:r>
      <w:r w:rsidRPr="00D47E1A">
        <w:rPr>
          <w:noProof/>
        </w:rPr>
        <w:t xml:space="preserve"> aprobate, iar plăţile acestei secţiuni au fost realizate în proporţie de 21,72 %, rezultând un deficit bugetar al secțiunii de dezvoltare de 4.811.184 lei.</w:t>
      </w:r>
    </w:p>
    <w:p w:rsidR="00FC0FB6" w:rsidRPr="00D47E1A" w:rsidRDefault="00FC0FB6" w:rsidP="00FC0FB6">
      <w:pPr>
        <w:tabs>
          <w:tab w:val="left" w:pos="720"/>
          <w:tab w:val="left" w:pos="1440"/>
          <w:tab w:val="center" w:pos="7938"/>
          <w:tab w:val="right" w:pos="9503"/>
        </w:tabs>
        <w:jc w:val="both"/>
        <w:rPr>
          <w:noProof/>
        </w:rPr>
      </w:pPr>
      <w:r w:rsidRPr="00D47E1A">
        <w:tab/>
        <w:t xml:space="preserve">Faţă de prevederile anuale aprobate, în sumă de 1.000.000 lei, se constată că încasările </w:t>
      </w:r>
      <w:r w:rsidRPr="00D47E1A">
        <w:rPr>
          <w:b/>
          <w:i/>
        </w:rPr>
        <w:t xml:space="preserve">bugetului </w:t>
      </w:r>
      <w:r w:rsidRPr="00D47E1A">
        <w:rPr>
          <w:b/>
          <w:i/>
          <w:noProof/>
        </w:rPr>
        <w:t>creditelor interne</w:t>
      </w:r>
      <w:r w:rsidRPr="00D47E1A">
        <w:rPr>
          <w:b/>
        </w:rPr>
        <w:t xml:space="preserve"> </w:t>
      </w:r>
      <w:r w:rsidRPr="00D47E1A">
        <w:t xml:space="preserve">au fost de 525.150 lei, fiind încasate în proporție de 52,52 %, situaţie prezentată în </w:t>
      </w:r>
      <w:r w:rsidRPr="00D47E1A">
        <w:rPr>
          <w:b/>
        </w:rPr>
        <w:t>anexa 3</w:t>
      </w:r>
      <w:r w:rsidRPr="00D47E1A">
        <w:t>.</w:t>
      </w:r>
    </w:p>
    <w:p w:rsidR="00FC0FB6" w:rsidRPr="00D47E1A" w:rsidRDefault="00FC0FB6" w:rsidP="00FC0FB6">
      <w:pPr>
        <w:ind w:firstLine="720"/>
        <w:jc w:val="both"/>
        <w:rPr>
          <w:b/>
          <w:i/>
          <w:noProof/>
        </w:rPr>
      </w:pPr>
      <w:r w:rsidRPr="00D47E1A">
        <w:t xml:space="preserve">În perioada de raportare s-au efectuat plăţi nete de casă în sumă de 525.150 lei (52,52%), faţă de veniturile realizate (525.150 lei), rezultând </w:t>
      </w:r>
      <w:r w:rsidRPr="00D47E1A">
        <w:rPr>
          <w:b/>
          <w:i/>
        </w:rPr>
        <w:t xml:space="preserve">echilibru bugetar al bugetului </w:t>
      </w:r>
      <w:r w:rsidRPr="00D47E1A">
        <w:rPr>
          <w:b/>
          <w:i/>
          <w:noProof/>
        </w:rPr>
        <w:t>creditelor interne.</w:t>
      </w:r>
    </w:p>
    <w:p w:rsidR="00FC0FB6" w:rsidRPr="00D47E1A" w:rsidRDefault="00FC0FB6" w:rsidP="00FC0FB6">
      <w:pPr>
        <w:tabs>
          <w:tab w:val="left" w:pos="720"/>
          <w:tab w:val="left" w:pos="1440"/>
          <w:tab w:val="center" w:pos="7938"/>
          <w:tab w:val="right" w:pos="9503"/>
        </w:tabs>
        <w:jc w:val="both"/>
      </w:pPr>
      <w:r w:rsidRPr="00D47E1A">
        <w:tab/>
        <w:t>Datele prezentate în situaţiile financiare centralizate, întocmite la 31 decembrie 2021, reflectă imaginea fidelă a modului de gestionare a patrimoniului şi de finanţare a unităţilor şi activităţilor de sub autoritatea Judeţului Argeş şi au fost supuse operaţiunilor de verificare a respectării normelor şi regulilor contabile.</w:t>
      </w:r>
    </w:p>
    <w:p w:rsidR="00FC0FB6" w:rsidRPr="00D47E1A" w:rsidRDefault="00FC0FB6" w:rsidP="00FC0FB6">
      <w:pPr>
        <w:tabs>
          <w:tab w:val="left" w:pos="720"/>
          <w:tab w:val="left" w:pos="1440"/>
          <w:tab w:val="center" w:pos="7938"/>
          <w:tab w:val="right" w:pos="9503"/>
        </w:tabs>
        <w:jc w:val="both"/>
      </w:pPr>
      <w:r w:rsidRPr="00D47E1A">
        <w:tab/>
        <w:t xml:space="preserve">Situaţiile financiare centralizate, întocmite la 31 decembrie 2021, cuprind date ce reflectă realitatea, exactitatea şi legalitatea operaţiunilor efectuate şi sunt în concordanţă cu evidenţa contabilă, sintetică şi analitică, a fiecăreia dintre instituţiile a căror activitate o raportăm. </w:t>
      </w:r>
      <w:r w:rsidRPr="00D47E1A">
        <w:rPr>
          <w:highlight w:val="yellow"/>
        </w:rPr>
        <w:t xml:space="preserve">            </w:t>
      </w:r>
    </w:p>
    <w:p w:rsidR="00FC0FB6" w:rsidRPr="00D47E1A" w:rsidRDefault="00FC0FB6" w:rsidP="00FC0FB6">
      <w:pPr>
        <w:jc w:val="both"/>
      </w:pPr>
      <w:r w:rsidRPr="00D47E1A">
        <w:tab/>
        <w:t xml:space="preserve">Faţă de cele prezentate şi în conformitate cu prevederile art. 57 din Legea nr. 273/2006 privind finanţele publice locale actualizată, vă supunem spre analiză şi aprobare execuţia bugetară pentru activitatea Judeţului Argeş la data de 31.12.2021. </w:t>
      </w:r>
    </w:p>
    <w:p w:rsidR="00FC0FB6" w:rsidRPr="00D47E1A" w:rsidRDefault="00FC0FB6" w:rsidP="00FC0FB6">
      <w:pPr>
        <w:jc w:val="both"/>
        <w:rPr>
          <w:highlight w:val="yellow"/>
        </w:rPr>
      </w:pPr>
    </w:p>
    <w:p w:rsidR="00FC0FB6" w:rsidRPr="00D47E1A" w:rsidRDefault="00FC0FB6" w:rsidP="00FC0FB6">
      <w:pPr>
        <w:jc w:val="both"/>
        <w:rPr>
          <w:color w:val="FF0000"/>
          <w:highlight w:val="yellow"/>
        </w:rPr>
      </w:pPr>
    </w:p>
    <w:p w:rsidR="00FC0FB6" w:rsidRPr="00D47E1A" w:rsidRDefault="00FC0FB6" w:rsidP="00FC0FB6">
      <w:pPr>
        <w:tabs>
          <w:tab w:val="left" w:pos="720"/>
          <w:tab w:val="left" w:pos="1440"/>
          <w:tab w:val="left" w:pos="2160"/>
          <w:tab w:val="left" w:pos="2880"/>
          <w:tab w:val="left" w:pos="3600"/>
          <w:tab w:val="left" w:pos="4320"/>
          <w:tab w:val="left" w:pos="5040"/>
          <w:tab w:val="left" w:pos="6885"/>
        </w:tabs>
        <w:rPr>
          <w:b/>
        </w:rPr>
      </w:pPr>
      <w:r w:rsidRPr="00D47E1A">
        <w:rPr>
          <w:b/>
        </w:rPr>
        <w:t xml:space="preserve">             DIRECTOR EXECUTIV,</w:t>
      </w:r>
      <w:r w:rsidRPr="00D47E1A">
        <w:rPr>
          <w:b/>
        </w:rPr>
        <w:tab/>
        <w:t xml:space="preserve">                           DIRECTOR EXECUTIV,                </w:t>
      </w:r>
      <w:r w:rsidRPr="00D47E1A">
        <w:rPr>
          <w:b/>
        </w:rPr>
        <w:tab/>
      </w:r>
    </w:p>
    <w:p w:rsidR="00FC0FB6" w:rsidRDefault="00FC0FB6" w:rsidP="00FC0FB6">
      <w:r w:rsidRPr="00D47E1A">
        <w:t xml:space="preserve">            Eugenia Carmen MOCANU</w:t>
      </w:r>
      <w:r w:rsidRPr="00D47E1A">
        <w:tab/>
      </w:r>
      <w:r w:rsidRPr="00D47E1A">
        <w:tab/>
        <w:t xml:space="preserve">                  Simona Alisa CIOBANU    </w:t>
      </w:r>
    </w:p>
    <w:p w:rsidR="00FC0FB6" w:rsidRDefault="00FC0FB6" w:rsidP="00FC0FB6"/>
    <w:p w:rsidR="00FC0FB6" w:rsidRDefault="00FC0FB6" w:rsidP="00FC0FB6"/>
    <w:p w:rsidR="00FC0FB6" w:rsidRDefault="00FC0FB6" w:rsidP="00FC0FB6"/>
    <w:p w:rsidR="00FC0FB6" w:rsidRPr="00D47E1A" w:rsidRDefault="00FC0FB6" w:rsidP="00FC0FB6">
      <w:r w:rsidRPr="00D47E1A">
        <w:t xml:space="preserve">                                             </w:t>
      </w:r>
    </w:p>
    <w:p w:rsidR="00FC0FB6" w:rsidRPr="004F43DE" w:rsidRDefault="00FC0FB6" w:rsidP="00FC0FB6">
      <w:pPr>
        <w:jc w:val="both"/>
      </w:pPr>
      <w:r w:rsidRPr="00D47E1A">
        <w:t xml:space="preserve"> Șef Serviciu Financiar Contabilitate,                                                                       Întocmit,</w:t>
      </w:r>
    </w:p>
    <w:p w:rsidR="00FC0FB6" w:rsidRPr="00D47E1A" w:rsidRDefault="00FC0FB6" w:rsidP="00FC0FB6">
      <w:r>
        <w:t xml:space="preserve">       </w:t>
      </w:r>
      <w:r w:rsidRPr="00D47E1A">
        <w:t xml:space="preserve">        Mădălina Gîdoiu</w:t>
      </w:r>
      <w:r w:rsidRPr="00D47E1A">
        <w:tab/>
      </w:r>
      <w:r w:rsidRPr="00D47E1A">
        <w:tab/>
      </w:r>
      <w:r w:rsidRPr="00D47E1A">
        <w:tab/>
        <w:t xml:space="preserve">                                                  </w:t>
      </w:r>
      <w:r>
        <w:t xml:space="preserve">         </w:t>
      </w:r>
      <w:r w:rsidRPr="00D47E1A">
        <w:t xml:space="preserve"> Aida Priftis</w:t>
      </w:r>
      <w:r w:rsidRPr="00D47E1A">
        <w:tab/>
      </w:r>
      <w:r w:rsidRPr="00D47E1A">
        <w:tab/>
      </w:r>
    </w:p>
    <w:p w:rsidR="00FC0FB6" w:rsidRPr="00D47E1A" w:rsidRDefault="00FC0FB6" w:rsidP="00FC0FB6">
      <w:pPr>
        <w:jc w:val="both"/>
      </w:pPr>
    </w:p>
    <w:p w:rsidR="00FC0FB6" w:rsidRPr="00D47E1A" w:rsidRDefault="00FC0FB6" w:rsidP="00FC0FB6">
      <w:pPr>
        <w:jc w:val="center"/>
        <w:rPr>
          <w:b/>
          <w:color w:val="FF0000"/>
          <w:highlight w:val="yellow"/>
        </w:rPr>
      </w:pPr>
    </w:p>
    <w:p w:rsidR="00FC0FB6" w:rsidRPr="00D47E1A" w:rsidRDefault="00FC0FB6" w:rsidP="00FC0FB6">
      <w:pPr>
        <w:jc w:val="center"/>
        <w:rPr>
          <w:b/>
          <w:color w:val="FF0000"/>
          <w:highlight w:val="yellow"/>
        </w:rPr>
      </w:pPr>
    </w:p>
    <w:p w:rsidR="00FC0FB6" w:rsidRPr="00D47E1A" w:rsidRDefault="00FC0FB6" w:rsidP="00FC0FB6">
      <w:pPr>
        <w:jc w:val="center"/>
        <w:rPr>
          <w:b/>
          <w:color w:val="FF0000"/>
          <w:highlight w:val="yellow"/>
        </w:rPr>
      </w:pPr>
    </w:p>
    <w:p w:rsidR="00FC0FB6" w:rsidRPr="00D47E1A" w:rsidRDefault="00FC0FB6" w:rsidP="00FC0FB6">
      <w:pPr>
        <w:jc w:val="center"/>
        <w:rPr>
          <w:b/>
          <w:color w:val="FF0000"/>
        </w:rPr>
      </w:pPr>
    </w:p>
    <w:p w:rsidR="00FC0FB6" w:rsidRDefault="00FC0FB6" w:rsidP="00FC0FB6">
      <w:pPr>
        <w:spacing w:after="200" w:line="276" w:lineRule="auto"/>
        <w:rPr>
          <w:bCs/>
        </w:rPr>
      </w:pPr>
    </w:p>
    <w:p w:rsidR="00FC0FB6" w:rsidRDefault="00FC0FB6" w:rsidP="00FC0FB6">
      <w:pPr>
        <w:jc w:val="both"/>
        <w:rPr>
          <w:bCs/>
        </w:rPr>
      </w:pPr>
    </w:p>
    <w:p w:rsidR="00FC0FB6" w:rsidRDefault="00FC0FB6" w:rsidP="00FC0FB6">
      <w:pPr>
        <w:jc w:val="both"/>
        <w:rPr>
          <w:bCs/>
        </w:rPr>
      </w:pPr>
    </w:p>
    <w:p w:rsidR="00FC0FB6" w:rsidRDefault="00FC0FB6" w:rsidP="00FC0FB6">
      <w:pPr>
        <w:jc w:val="both"/>
        <w:rPr>
          <w:bCs/>
        </w:rPr>
      </w:pPr>
    </w:p>
    <w:p w:rsidR="00FC0FB6" w:rsidRDefault="00FC0FB6" w:rsidP="00FC0FB6">
      <w:pPr>
        <w:jc w:val="both"/>
        <w:rPr>
          <w:bCs/>
        </w:rPr>
      </w:pPr>
    </w:p>
    <w:p w:rsidR="00FC0FB6" w:rsidRDefault="00FC0FB6" w:rsidP="00FC0FB6">
      <w:pPr>
        <w:jc w:val="both"/>
        <w:rPr>
          <w:b/>
        </w:rPr>
      </w:pPr>
    </w:p>
    <w:p w:rsidR="005F6212" w:rsidRDefault="005F6212"/>
    <w:sectPr w:rsidR="005F6212" w:rsidSect="005F6212">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534682"/>
    <w:multiLevelType w:val="hybridMultilevel"/>
    <w:tmpl w:val="9358FDC4"/>
    <w:lvl w:ilvl="0" w:tplc="D18EEFE0">
      <w:numFmt w:val="bullet"/>
      <w:lvlText w:val="-"/>
      <w:lvlJc w:val="left"/>
      <w:pPr>
        <w:ind w:left="720" w:hanging="360"/>
      </w:pPr>
      <w:rPr>
        <w:rFonts w:ascii="Calibri" w:eastAsia="Calibri" w:hAnsi="Calibri"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91D71A7"/>
    <w:multiLevelType w:val="hybridMultilevel"/>
    <w:tmpl w:val="E03E561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9"/>
  <w:proofState w:spelling="clean" w:grammar="clean"/>
  <w:defaultTabStop w:val="720"/>
  <w:characterSpacingControl w:val="doNotCompress"/>
  <w:compat/>
  <w:rsids>
    <w:rsidRoot w:val="00FC0FB6"/>
    <w:rsid w:val="00093789"/>
    <w:rsid w:val="00157FE7"/>
    <w:rsid w:val="00191897"/>
    <w:rsid w:val="00193F99"/>
    <w:rsid w:val="001D4309"/>
    <w:rsid w:val="00253C08"/>
    <w:rsid w:val="003759EF"/>
    <w:rsid w:val="003A051A"/>
    <w:rsid w:val="003E40EB"/>
    <w:rsid w:val="0050190C"/>
    <w:rsid w:val="005319BA"/>
    <w:rsid w:val="00543E96"/>
    <w:rsid w:val="005F6212"/>
    <w:rsid w:val="00627B7B"/>
    <w:rsid w:val="006D6351"/>
    <w:rsid w:val="00877948"/>
    <w:rsid w:val="008B5268"/>
    <w:rsid w:val="00A84E98"/>
    <w:rsid w:val="00E01C26"/>
    <w:rsid w:val="00E21889"/>
    <w:rsid w:val="00F236D7"/>
    <w:rsid w:val="00F62CDF"/>
    <w:rsid w:val="00FC0FB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0FB6"/>
    <w:pPr>
      <w:spacing w:after="0" w:line="240" w:lineRule="auto"/>
    </w:pPr>
    <w:rPr>
      <w:rFonts w:ascii="Times New Roman" w:eastAsia="Times New Roman" w:hAnsi="Times New Roman" w:cs="Times New Roman"/>
      <w:sz w:val="24"/>
      <w:szCs w:val="24"/>
      <w:lang w:val="ro-RO" w:eastAsia="ro-RO"/>
    </w:rPr>
  </w:style>
  <w:style w:type="paragraph" w:styleId="Heading1">
    <w:name w:val="heading 1"/>
    <w:basedOn w:val="Normal"/>
    <w:next w:val="Normal"/>
    <w:link w:val="Heading1Char"/>
    <w:qFormat/>
    <w:rsid w:val="00FC0FB6"/>
    <w:pPr>
      <w:keepNext/>
      <w:spacing w:before="240" w:after="60"/>
      <w:outlineLvl w:val="0"/>
    </w:pPr>
    <w:rPr>
      <w:rFonts w:ascii="Cambria" w:hAnsi="Cambria"/>
      <w:b/>
      <w:bCs/>
      <w:kern w:val="32"/>
      <w:sz w:val="32"/>
      <w:szCs w:val="3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C0FB6"/>
    <w:rPr>
      <w:rFonts w:ascii="Cambria" w:eastAsia="Times New Roman" w:hAnsi="Cambria" w:cs="Times New Roman"/>
      <w:b/>
      <w:bCs/>
      <w:kern w:val="32"/>
      <w:sz w:val="32"/>
      <w:szCs w:val="32"/>
      <w:lang w:val="en-GB"/>
    </w:rPr>
  </w:style>
  <w:style w:type="paragraph" w:styleId="BodyTextIndent2">
    <w:name w:val="Body Text Indent 2"/>
    <w:basedOn w:val="Normal"/>
    <w:link w:val="BodyTextIndent2Char"/>
    <w:uiPriority w:val="99"/>
    <w:unhideWhenUsed/>
    <w:rsid w:val="00FC0FB6"/>
    <w:pPr>
      <w:spacing w:after="120" w:line="480" w:lineRule="auto"/>
      <w:ind w:left="283"/>
    </w:pPr>
  </w:style>
  <w:style w:type="character" w:customStyle="1" w:styleId="BodyTextIndent2Char">
    <w:name w:val="Body Text Indent 2 Char"/>
    <w:basedOn w:val="DefaultParagraphFont"/>
    <w:link w:val="BodyTextIndent2"/>
    <w:uiPriority w:val="99"/>
    <w:rsid w:val="00FC0FB6"/>
    <w:rPr>
      <w:rFonts w:ascii="Times New Roman" w:eastAsia="Times New Roman" w:hAnsi="Times New Roman" w:cs="Times New Roman"/>
      <w:sz w:val="24"/>
      <w:szCs w:val="24"/>
      <w:lang w:val="ro-RO" w:eastAsia="ro-RO"/>
    </w:rPr>
  </w:style>
  <w:style w:type="character" w:customStyle="1" w:styleId="ListParagraphChar">
    <w:name w:val="List Paragraph Char"/>
    <w:aliases w:val="body 2 Char,Akapit z listą BS Char,Outlines a.b.c. Char,List_Paragraph Char,Multilevel para_II Char,Akapit z lista BS Char,List Paragraph1 Char,References Char,Numbered List Paragraph Char,Numbered Paragraph Char,Normal bullet 2 Char"/>
    <w:link w:val="ListParagraph"/>
    <w:uiPriority w:val="34"/>
    <w:qFormat/>
    <w:locked/>
    <w:rsid w:val="00FC0FB6"/>
    <w:rPr>
      <w:rFonts w:ascii="Times New Roman" w:eastAsia="Times New Roman" w:hAnsi="Times New Roman" w:cs="Times New Roman"/>
      <w:sz w:val="24"/>
      <w:szCs w:val="24"/>
    </w:rPr>
  </w:style>
  <w:style w:type="paragraph" w:styleId="ListParagraph">
    <w:name w:val="List Paragraph"/>
    <w:aliases w:val="body 2,Akapit z listą BS,Outlines a.b.c.,List_Paragraph,Multilevel para_II,Akapit z lista BS,List Paragraph1,References,Numbered List Paragraph,Numbered Paragraph,Main numbered paragraph,Normal bullet 2,List Paragraph (numbered (a))"/>
    <w:basedOn w:val="Normal"/>
    <w:link w:val="ListParagraphChar"/>
    <w:uiPriority w:val="34"/>
    <w:qFormat/>
    <w:rsid w:val="00FC0FB6"/>
    <w:pPr>
      <w:ind w:left="720"/>
      <w:contextualSpacing/>
    </w:pPr>
    <w:rPr>
      <w:lang w:val="en-US" w:eastAsia="en-US"/>
    </w:rPr>
  </w:style>
  <w:style w:type="paragraph" w:styleId="BodyTextIndent">
    <w:name w:val="Body Text Indent"/>
    <w:basedOn w:val="Normal"/>
    <w:link w:val="BodyTextIndentChar"/>
    <w:uiPriority w:val="99"/>
    <w:semiHidden/>
    <w:unhideWhenUsed/>
    <w:rsid w:val="00FC0FB6"/>
    <w:pPr>
      <w:spacing w:after="120"/>
      <w:ind w:left="283"/>
    </w:pPr>
  </w:style>
  <w:style w:type="character" w:customStyle="1" w:styleId="BodyTextIndentChar">
    <w:name w:val="Body Text Indent Char"/>
    <w:basedOn w:val="DefaultParagraphFont"/>
    <w:link w:val="BodyTextIndent"/>
    <w:uiPriority w:val="99"/>
    <w:semiHidden/>
    <w:rsid w:val="00FC0FB6"/>
    <w:rPr>
      <w:rFonts w:ascii="Times New Roman" w:eastAsia="Times New Roman" w:hAnsi="Times New Roman" w:cs="Times New Roman"/>
      <w:sz w:val="24"/>
      <w:szCs w:val="24"/>
      <w:lang w:val="ro-RO" w:eastAsia="ro-R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1218</Words>
  <Characters>6945</Characters>
  <Application>Microsoft Office Word</Application>
  <DocSecurity>0</DocSecurity>
  <Lines>57</Lines>
  <Paragraphs>16</Paragraphs>
  <ScaleCrop>false</ScaleCrop>
  <Company/>
  <LinksUpToDate>false</LinksUpToDate>
  <CharactersWithSpaces>8147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loredanat</dc:creator>
  <cp:keywords/>
  <dc:description/>
  <cp:lastModifiedBy>loredanat</cp:lastModifiedBy>
  <cp:revision>2</cp:revision>
  <dcterms:created xsi:type="dcterms:W3CDTF">2022-05-16T06:45:00Z</dcterms:created>
  <dcterms:modified xsi:type="dcterms:W3CDTF">2022-05-16T06:46:00Z</dcterms:modified>
</cp:coreProperties>
</file>