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13C7" w14:textId="77777777" w:rsidR="00080BDA" w:rsidRPr="005C1E48" w:rsidRDefault="00080BDA" w:rsidP="00227CB8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5C1E4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7</w:t>
      </w:r>
    </w:p>
    <w:p w14:paraId="640B9AFF" w14:textId="77777777" w:rsidR="00080BDA" w:rsidRPr="005C1E48" w:rsidRDefault="00080BDA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C462372" w14:textId="77777777" w:rsidR="00080BDA" w:rsidRPr="005C1E48" w:rsidRDefault="00080BDA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5C1E48">
        <w:rPr>
          <w:rFonts w:ascii="Times New Roman" w:hAnsi="Times New Roman" w:cs="Times New Roman"/>
          <w:b/>
          <w:bCs/>
          <w:sz w:val="24"/>
          <w:szCs w:val="24"/>
          <w:lang w:val="fr-FR"/>
        </w:rPr>
        <w:t>CATEGORII  DE</w:t>
      </w:r>
      <w:proofErr w:type="gramEnd"/>
      <w:r w:rsidRPr="005C1E4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CHELTUIELI  ELIGIBILE</w:t>
      </w:r>
    </w:p>
    <w:p w14:paraId="19CA9B17" w14:textId="77777777" w:rsidR="00080BDA" w:rsidRPr="005C1E48" w:rsidRDefault="00080BDA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0CAC908F" w14:textId="77777777" w:rsidR="00080BDA" w:rsidRPr="005C1E48" w:rsidRDefault="00080BDA" w:rsidP="00080BDA">
      <w:pPr>
        <w:pStyle w:val="Standard"/>
        <w:numPr>
          <w:ilvl w:val="0"/>
          <w:numId w:val="3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Închirieri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echipamente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transport,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săli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seminarii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cursuri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expoziţii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etc.)</w:t>
      </w:r>
    </w:p>
    <w:p w14:paraId="53327133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</w:rPr>
        <w:t>Consultanţă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</w:p>
    <w:p w14:paraId="512D94A8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48">
        <w:rPr>
          <w:rFonts w:ascii="Times New Roman" w:hAnsi="Times New Roman" w:cs="Times New Roman"/>
          <w:sz w:val="24"/>
          <w:szCs w:val="24"/>
        </w:rPr>
        <w:t xml:space="preserve">Transport: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CFR,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bilet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avion, autocar, transport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transportatoare</w:t>
      </w:r>
      <w:proofErr w:type="spellEnd"/>
    </w:p>
    <w:p w14:paraId="5CACD6C8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ind w:right="1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masa: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de maximum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stele)</w:t>
      </w:r>
    </w:p>
    <w:p w14:paraId="6DB8AA1E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Consumabile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hârtie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toner,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cartuş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imprimantă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markere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furnituri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birou</w:t>
      </w:r>
      <w:proofErr w:type="spellEnd"/>
    </w:p>
    <w:p w14:paraId="60633D94" w14:textId="77777777" w:rsidR="00080BDA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Achiziţii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activitate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prestată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o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fizică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care nu se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încadrează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categoriile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onorarii</w:t>
      </w:r>
      <w:proofErr w:type="spellEnd"/>
    </w:p>
    <w:p w14:paraId="5A3E3A32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Publicitate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acţiuni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promoţionale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proofErr w:type="spellEnd"/>
    </w:p>
    <w:p w14:paraId="204B6B6E" w14:textId="48C9437E" w:rsidR="00080BDA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Onorarii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colaboratorii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scopul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realizării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alţii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cei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permanenţi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convenţiilor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civile (ex.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artişti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regizori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instrumentişti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specialişti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etc.)</w:t>
      </w:r>
    </w:p>
    <w:p w14:paraId="6C2F17B5" w14:textId="77777777" w:rsidR="000076F8" w:rsidRPr="005C1E48" w:rsidRDefault="000076F8" w:rsidP="000076F8">
      <w:pPr>
        <w:pStyle w:val="Standard"/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8651795" w14:textId="77777777" w:rsidR="00080BDA" w:rsidRPr="005C1E48" w:rsidRDefault="00080BDA" w:rsidP="00080BDA">
      <w:pPr>
        <w:pStyle w:val="Standard"/>
        <w:numPr>
          <w:ilvl w:val="0"/>
          <w:numId w:val="2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Diurna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acordată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466095" w14:textId="77777777" w:rsidR="00080BDA" w:rsidRPr="005C1E48" w:rsidRDefault="00080BDA" w:rsidP="00080BDA">
      <w:pPr>
        <w:jc w:val="both"/>
        <w:rPr>
          <w:rFonts w:ascii="Times New Roman" w:hAnsi="Times New Roman" w:cs="Times New Roman"/>
          <w:color w:val="auto"/>
          <w:lang w:val="fr-FR"/>
        </w:rPr>
      </w:pPr>
      <w:r w:rsidRPr="005C1E48">
        <w:rPr>
          <w:rFonts w:ascii="Times New Roman" w:hAnsi="Times New Roman" w:cs="Times New Roman"/>
          <w:color w:val="auto"/>
          <w:lang w:val="fr-FR"/>
        </w:rPr>
        <w:t xml:space="preserve">      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Decontarea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cheltuielilor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se va face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luând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considerare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următoarele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aspecte :</w:t>
      </w:r>
    </w:p>
    <w:p w14:paraId="0BF4097A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C1E48">
        <w:rPr>
          <w:rFonts w:ascii="Times New Roman" w:hAnsi="Times New Roman" w:cs="Times New Roman"/>
          <w:color w:val="auto"/>
        </w:rPr>
        <w:t>cheltuiala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C1E48">
        <w:rPr>
          <w:rFonts w:ascii="Times New Roman" w:hAnsi="Times New Roman" w:cs="Times New Roman"/>
          <w:color w:val="auto"/>
        </w:rPr>
        <w:t>fost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realizată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pentru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proiect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C1E48">
        <w:rPr>
          <w:rFonts w:ascii="Times New Roman" w:hAnsi="Times New Roman" w:cs="Times New Roman"/>
          <w:color w:val="auto"/>
        </w:rPr>
        <w:t>este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dovedită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legătura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directă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5C1E48">
        <w:rPr>
          <w:rFonts w:ascii="Times New Roman" w:hAnsi="Times New Roman" w:cs="Times New Roman"/>
          <w:color w:val="auto"/>
        </w:rPr>
        <w:t>proiectul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); </w:t>
      </w:r>
    </w:p>
    <w:p w14:paraId="2C1C3C87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proofErr w:type="gramStart"/>
      <w:r w:rsidRPr="005C1E48">
        <w:rPr>
          <w:rFonts w:ascii="Times New Roman" w:hAnsi="Times New Roman" w:cs="Times New Roman"/>
          <w:color w:val="auto"/>
          <w:lang w:val="fr-FR"/>
        </w:rPr>
        <w:t>cheltuiala</w:t>
      </w:r>
      <w:proofErr w:type="spellEnd"/>
      <w:proofErr w:type="gramEnd"/>
      <w:r w:rsidRPr="005C1E48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fost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efectuată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perioada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desfăşurare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proiectului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activităţi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plăţi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realizate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după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semnarea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contractului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finanţare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>;</w:t>
      </w:r>
    </w:p>
    <w:p w14:paraId="524ACB27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proofErr w:type="gramStart"/>
      <w:r w:rsidRPr="005C1E48">
        <w:rPr>
          <w:rFonts w:ascii="Times New Roman" w:hAnsi="Times New Roman" w:cs="Times New Roman"/>
          <w:color w:val="auto"/>
          <w:lang w:val="fr-FR"/>
        </w:rPr>
        <w:t>beneficiarul</w:t>
      </w:r>
      <w:proofErr w:type="spellEnd"/>
      <w:proofErr w:type="gram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prezintă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toate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documentele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justificative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plată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fiecare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tip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cheltuială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copie,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semnate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ştampilate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cu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menţiunea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“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conform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cu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originalul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>”;</w:t>
      </w:r>
    </w:p>
    <w:p w14:paraId="1A607548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proofErr w:type="gramStart"/>
      <w:r w:rsidRPr="005C1E48">
        <w:rPr>
          <w:rFonts w:ascii="Times New Roman" w:hAnsi="Times New Roman" w:cs="Times New Roman"/>
          <w:color w:val="auto"/>
          <w:lang w:val="fr-FR"/>
        </w:rPr>
        <w:t>beneficiarul</w:t>
      </w:r>
      <w:proofErr w:type="spellEnd"/>
      <w:proofErr w:type="gramEnd"/>
      <w:r w:rsidRPr="005C1E48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dovedit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realizarea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activităţii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care a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fost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efectuată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cheltuiala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cauză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pe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baza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raportului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intermediar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/ final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activitate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si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raportului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financiar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>;</w:t>
      </w:r>
    </w:p>
    <w:p w14:paraId="01800408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C1E48">
        <w:rPr>
          <w:rFonts w:ascii="Times New Roman" w:hAnsi="Times New Roman" w:cs="Times New Roman"/>
          <w:color w:val="auto"/>
        </w:rPr>
        <w:t>facturile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sunt </w:t>
      </w:r>
      <w:proofErr w:type="spellStart"/>
      <w:r w:rsidRPr="005C1E48">
        <w:rPr>
          <w:rFonts w:ascii="Times New Roman" w:hAnsi="Times New Roman" w:cs="Times New Roman"/>
          <w:color w:val="auto"/>
        </w:rPr>
        <w:t>emise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pe </w:t>
      </w:r>
      <w:proofErr w:type="spellStart"/>
      <w:r w:rsidRPr="005C1E48">
        <w:rPr>
          <w:rFonts w:ascii="Times New Roman" w:hAnsi="Times New Roman" w:cs="Times New Roman"/>
          <w:color w:val="auto"/>
        </w:rPr>
        <w:t>numele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beneficiarului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finanţării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; </w:t>
      </w:r>
    </w:p>
    <w:p w14:paraId="27275537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C1E48">
        <w:rPr>
          <w:rFonts w:ascii="Times New Roman" w:hAnsi="Times New Roman" w:cs="Times New Roman"/>
          <w:color w:val="auto"/>
        </w:rPr>
        <w:t>facturile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sunt </w:t>
      </w:r>
      <w:proofErr w:type="spellStart"/>
      <w:r w:rsidRPr="005C1E48">
        <w:rPr>
          <w:rFonts w:ascii="Times New Roman" w:hAnsi="Times New Roman" w:cs="Times New Roman"/>
          <w:color w:val="auto"/>
        </w:rPr>
        <w:t>completate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5C1E48">
        <w:rPr>
          <w:rFonts w:ascii="Times New Roman" w:hAnsi="Times New Roman" w:cs="Times New Roman"/>
          <w:color w:val="auto"/>
        </w:rPr>
        <w:t>toate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datele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necesare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5C1E48">
        <w:rPr>
          <w:rFonts w:ascii="Times New Roman" w:hAnsi="Times New Roman" w:cs="Times New Roman"/>
          <w:color w:val="auto"/>
        </w:rPr>
        <w:t>punct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</w:rPr>
        <w:t>vedere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Pr="005C1E48">
        <w:rPr>
          <w:rFonts w:ascii="Times New Roman" w:hAnsi="Times New Roman" w:cs="Times New Roman"/>
          <w:color w:val="auto"/>
        </w:rPr>
        <w:t>conţinutului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Pr="005C1E48">
        <w:rPr>
          <w:rFonts w:ascii="Times New Roman" w:hAnsi="Times New Roman" w:cs="Times New Roman"/>
          <w:color w:val="auto"/>
        </w:rPr>
        <w:t>detalierea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exactă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5C1E48">
        <w:rPr>
          <w:rFonts w:ascii="Times New Roman" w:hAnsi="Times New Roman" w:cs="Times New Roman"/>
          <w:color w:val="auto"/>
        </w:rPr>
        <w:t>produselor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sau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serviciilor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achiziţionate</w:t>
      </w:r>
      <w:proofErr w:type="spellEnd"/>
      <w:r w:rsidRPr="005C1E48">
        <w:rPr>
          <w:rFonts w:ascii="Times New Roman" w:hAnsi="Times New Roman" w:cs="Times New Roman"/>
          <w:color w:val="auto"/>
        </w:rPr>
        <w:t>;</w:t>
      </w:r>
    </w:p>
    <w:p w14:paraId="2AFCDC33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5C1E48">
        <w:rPr>
          <w:rFonts w:ascii="Times New Roman" w:hAnsi="Times New Roman" w:cs="Times New Roman"/>
          <w:color w:val="auto"/>
        </w:rPr>
        <w:t>facturile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sunt </w:t>
      </w:r>
      <w:proofErr w:type="spellStart"/>
      <w:r w:rsidRPr="005C1E48">
        <w:rPr>
          <w:rFonts w:ascii="Times New Roman" w:hAnsi="Times New Roman" w:cs="Times New Roman"/>
          <w:color w:val="auto"/>
        </w:rPr>
        <w:t>completate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5C1E48">
        <w:rPr>
          <w:rFonts w:ascii="Times New Roman" w:hAnsi="Times New Roman" w:cs="Times New Roman"/>
          <w:color w:val="auto"/>
        </w:rPr>
        <w:t>toate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datele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necesare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5C1E48">
        <w:rPr>
          <w:rFonts w:ascii="Times New Roman" w:hAnsi="Times New Roman" w:cs="Times New Roman"/>
          <w:color w:val="auto"/>
        </w:rPr>
        <w:t>punct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</w:rPr>
        <w:t>vedere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Pr="005C1E48">
        <w:rPr>
          <w:rFonts w:ascii="Times New Roman" w:hAnsi="Times New Roman" w:cs="Times New Roman"/>
          <w:color w:val="auto"/>
        </w:rPr>
        <w:t>formei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5C1E48">
        <w:rPr>
          <w:rFonts w:ascii="Times New Roman" w:hAnsi="Times New Roman" w:cs="Times New Roman"/>
          <w:color w:val="auto"/>
        </w:rPr>
        <w:t>numărul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şi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data </w:t>
      </w:r>
      <w:proofErr w:type="spellStart"/>
      <w:r w:rsidRPr="005C1E48">
        <w:rPr>
          <w:rFonts w:ascii="Times New Roman" w:hAnsi="Times New Roman" w:cs="Times New Roman"/>
          <w:color w:val="auto"/>
        </w:rPr>
        <w:t>emiterii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</w:rPr>
        <w:t>emitentul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documentului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</w:rPr>
        <w:t>beneficiarul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</w:rPr>
        <w:t>semnate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şi</w:t>
      </w:r>
      <w:proofErr w:type="spellEnd"/>
      <w:r w:rsidRPr="005C1E4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</w:rPr>
        <w:t>ştampilate</w:t>
      </w:r>
      <w:proofErr w:type="spellEnd"/>
      <w:r w:rsidRPr="005C1E48">
        <w:rPr>
          <w:rFonts w:ascii="Times New Roman" w:hAnsi="Times New Roman" w:cs="Times New Roman"/>
          <w:color w:val="auto"/>
        </w:rPr>
        <w:t>;</w:t>
      </w:r>
    </w:p>
    <w:p w14:paraId="41985EDD" w14:textId="77777777" w:rsidR="00080BDA" w:rsidRPr="005C1E48" w:rsidRDefault="00080BDA" w:rsidP="00080BD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toate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documentele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justificative externe,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emise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către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un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prestator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din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afara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României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către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beneficiarul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finanţării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, se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vor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prezenta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la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decont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însoţite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traducerea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acestora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în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 limba </w:t>
      </w:r>
      <w:proofErr w:type="spellStart"/>
      <w:r w:rsidRPr="005C1E48">
        <w:rPr>
          <w:rFonts w:ascii="Times New Roman" w:hAnsi="Times New Roman" w:cs="Times New Roman"/>
          <w:color w:val="auto"/>
          <w:lang w:val="es-ES"/>
        </w:rPr>
        <w:t>română</w:t>
      </w:r>
      <w:proofErr w:type="spellEnd"/>
      <w:r w:rsidRPr="005C1E48">
        <w:rPr>
          <w:rFonts w:ascii="Times New Roman" w:hAnsi="Times New Roman" w:cs="Times New Roman"/>
          <w:color w:val="auto"/>
          <w:lang w:val="es-ES"/>
        </w:rPr>
        <w:t xml:space="preserve">.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Traducerea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trebuie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să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fie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efectuată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semnată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ştampilată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către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un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traducător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color w:val="auto"/>
          <w:lang w:val="fr-FR"/>
        </w:rPr>
        <w:t>autorizat</w:t>
      </w:r>
      <w:proofErr w:type="spellEnd"/>
      <w:r w:rsidRPr="005C1E48">
        <w:rPr>
          <w:rFonts w:ascii="Times New Roman" w:hAnsi="Times New Roman" w:cs="Times New Roman"/>
          <w:color w:val="auto"/>
          <w:lang w:val="fr-FR"/>
        </w:rPr>
        <w:t xml:space="preserve">. </w:t>
      </w:r>
    </w:p>
    <w:p w14:paraId="0D7C2DAD" w14:textId="77777777" w:rsidR="00080BDA" w:rsidRPr="005C1E48" w:rsidRDefault="00080BDA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7A1840" w14:textId="65AD59E9" w:rsidR="00080BDA" w:rsidRDefault="00080BDA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</w:rPr>
        <w:t>CATEGORII DE CHELTUIELI NEELIGIBILE:</w:t>
      </w:r>
    </w:p>
    <w:p w14:paraId="465F33DC" w14:textId="77777777" w:rsidR="000076F8" w:rsidRPr="005C1E48" w:rsidRDefault="000076F8" w:rsidP="00080BD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10953" w14:textId="77777777" w:rsidR="00080BDA" w:rsidRPr="005C1E48" w:rsidRDefault="00080BDA" w:rsidP="00080BDA">
      <w:pPr>
        <w:pStyle w:val="Standard"/>
        <w:numPr>
          <w:ilvl w:val="0"/>
          <w:numId w:val="4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Cheltuieli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angajatii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permanent ai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);</w:t>
      </w:r>
      <w:proofErr w:type="gramEnd"/>
    </w:p>
    <w:p w14:paraId="07CF5FDD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Cheltuieli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întreţinerea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reparaţia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mijloacelor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fixe;</w:t>
      </w:r>
      <w:proofErr w:type="gramEnd"/>
    </w:p>
    <w:p w14:paraId="399D694B" w14:textId="77777777" w:rsidR="00080BDA" w:rsidRPr="00195303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Achiziţii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terenuri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clădiri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195303">
        <w:rPr>
          <w:rFonts w:ascii="Times New Roman" w:hAnsi="Times New Roman" w:cs="Times New Roman"/>
          <w:sz w:val="24"/>
          <w:szCs w:val="24"/>
          <w:lang w:val="fr-FR"/>
        </w:rPr>
        <w:t>vehicule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6DD2B13" w14:textId="77777777" w:rsidR="00080BDA" w:rsidRPr="00195303" w:rsidRDefault="00080BDA" w:rsidP="00080BDA">
      <w:pPr>
        <w:pStyle w:val="Standard"/>
        <w:numPr>
          <w:ilvl w:val="0"/>
          <w:numId w:val="1"/>
        </w:numPr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Achiziții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95303">
        <w:rPr>
          <w:rFonts w:ascii="Times New Roman" w:hAnsi="Times New Roman" w:cs="Times New Roman"/>
          <w:sz w:val="24"/>
          <w:szCs w:val="24"/>
          <w:lang w:val="fr-FR"/>
        </w:rPr>
        <w:t>echipamente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potrivit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350/ 2005 - art. 3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alineat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(5), nu se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acordă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finanţări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14:paraId="68DF12F7" w14:textId="03CA0506" w:rsidR="00080BDA" w:rsidRDefault="00080BDA" w:rsidP="00080BDA">
      <w:pPr>
        <w:pStyle w:val="Standard"/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proofErr w:type="gramStart"/>
      <w:r w:rsidRPr="00195303">
        <w:rPr>
          <w:rFonts w:ascii="Times New Roman" w:hAnsi="Times New Roman" w:cs="Times New Roman"/>
          <w:sz w:val="24"/>
          <w:szCs w:val="24"/>
          <w:lang w:val="fr-FR"/>
        </w:rPr>
        <w:t>nerambursabile</w:t>
      </w:r>
      <w:proofErr w:type="spellEnd"/>
      <w:proofErr w:type="gram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presupun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infrastructurii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excepţia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cazului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reprezintă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componentă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indispensabilă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9530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19530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82F58F8" w14:textId="77777777" w:rsidR="000076F8" w:rsidRPr="00195303" w:rsidRDefault="000076F8" w:rsidP="00080BDA">
      <w:pPr>
        <w:pStyle w:val="Standard"/>
        <w:tabs>
          <w:tab w:val="left" w:pos="3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0E77A00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Băuturi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alcoolice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si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tutun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room service si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minibar</w:t>
      </w:r>
      <w:r w:rsidRPr="005C1E48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B403DE5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</w:rPr>
        <w:t>închiriate</w:t>
      </w:r>
      <w:proofErr w:type="spellEnd"/>
      <w:r w:rsidRPr="005C1E48">
        <w:rPr>
          <w:rFonts w:ascii="Times New Roman" w:hAnsi="Times New Roman" w:cs="Times New Roman"/>
          <w:sz w:val="24"/>
          <w:szCs w:val="24"/>
        </w:rPr>
        <w:t>;</w:t>
      </w:r>
    </w:p>
    <w:p w14:paraId="4A93699C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Elemente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deja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finanţate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proiecte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finantari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4476356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Costuri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administrative (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chirie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sediu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utilităţi</w:t>
      </w:r>
      <w:proofErr w:type="spellEnd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1BA8FAB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lastRenderedPageBreak/>
        <w:t>Cheltuieli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combustibilul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interiorul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localității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află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social al </w:t>
      </w:r>
      <w:proofErr w:type="spellStart"/>
      <w:proofErr w:type="gram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solicitantului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D265A27" w14:textId="77777777" w:rsidR="00080BDA" w:rsidRPr="005C1E48" w:rsidRDefault="00080BDA" w:rsidP="00080BDA">
      <w:pPr>
        <w:pStyle w:val="Standard"/>
        <w:numPr>
          <w:ilvl w:val="0"/>
          <w:numId w:val="1"/>
        </w:numPr>
        <w:tabs>
          <w:tab w:val="left" w:pos="70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Dobânzi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datorate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comisioane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bancare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pierderi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schimb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valutar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credite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terţe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C1E48">
        <w:rPr>
          <w:rFonts w:ascii="Times New Roman" w:hAnsi="Times New Roman" w:cs="Times New Roman"/>
          <w:sz w:val="24"/>
          <w:szCs w:val="24"/>
          <w:lang w:val="fr-FR"/>
        </w:rPr>
        <w:t>părţi</w:t>
      </w:r>
      <w:proofErr w:type="spellEnd"/>
      <w:r w:rsidRPr="005C1E4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35D6B81" w14:textId="77777777" w:rsidR="00080BDA" w:rsidRPr="005C1E48" w:rsidRDefault="00080BDA" w:rsidP="00080BDA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1F1E578" w14:textId="77777777" w:rsidR="00080BDA" w:rsidRPr="005C1E48" w:rsidRDefault="00080BDA" w:rsidP="00080BDA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7FCE983" w14:textId="77777777" w:rsidR="00080BDA" w:rsidRPr="005C1E48" w:rsidRDefault="00080BDA" w:rsidP="00080BDA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C9713EB" w14:textId="77777777" w:rsidR="00080BDA" w:rsidRPr="005C1E48" w:rsidRDefault="00080BDA" w:rsidP="00080BDA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3AE3E33B" w14:textId="77777777" w:rsidR="00080BDA" w:rsidRPr="005C1E48" w:rsidRDefault="00080BDA" w:rsidP="00080BDA">
      <w:pPr>
        <w:widowControl w:val="0"/>
        <w:autoSpaceDE w:val="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3912580" w14:textId="77777777" w:rsidR="00080BDA" w:rsidRPr="005C1E48" w:rsidRDefault="00080BDA" w:rsidP="00080BDA">
      <w:pPr>
        <w:widowControl w:val="0"/>
        <w:autoSpaceDE w:val="0"/>
        <w:ind w:left="8640" w:firstLine="720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1EE4050D" w14:textId="77777777" w:rsidR="002155DE" w:rsidRDefault="002155DE"/>
    <w:sectPr w:rsidR="00215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8DA487B"/>
    <w:multiLevelType w:val="hybridMultilevel"/>
    <w:tmpl w:val="D0A2572A"/>
    <w:lvl w:ilvl="0" w:tplc="4A809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0D"/>
    <w:rsid w:val="000076F8"/>
    <w:rsid w:val="00080BDA"/>
    <w:rsid w:val="002155DE"/>
    <w:rsid w:val="00227CB8"/>
    <w:rsid w:val="00A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5A2F"/>
  <w15:chartTrackingRefBased/>
  <w15:docId w15:val="{E00E7F60-AB1E-4953-820C-C192F354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D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80BD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3">
    <w:name w:val="WWNum3"/>
    <w:basedOn w:val="NoList"/>
    <w:rsid w:val="00080BDA"/>
    <w:pPr>
      <w:numPr>
        <w:numId w:val="1"/>
      </w:numPr>
    </w:pPr>
  </w:style>
  <w:style w:type="numbering" w:customStyle="1" w:styleId="WWNum4">
    <w:name w:val="WWNum4"/>
    <w:basedOn w:val="NoList"/>
    <w:rsid w:val="00080BDA"/>
    <w:pPr>
      <w:numPr>
        <w:numId w:val="2"/>
      </w:numPr>
    </w:pPr>
  </w:style>
  <w:style w:type="paragraph" w:customStyle="1" w:styleId="Default">
    <w:name w:val="Default"/>
    <w:rsid w:val="00080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4</cp:revision>
  <dcterms:created xsi:type="dcterms:W3CDTF">2022-04-04T14:16:00Z</dcterms:created>
  <dcterms:modified xsi:type="dcterms:W3CDTF">2022-04-04T14:40:00Z</dcterms:modified>
</cp:coreProperties>
</file>